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7E8A" w:rsidRDefault="00127E8A">
      <w:pPr>
        <w:spacing w:after="0" w:line="240" w:lineRule="auto"/>
        <w:rPr>
          <w:b/>
          <w:color w:val="034EA2"/>
          <w:sz w:val="32"/>
        </w:rPr>
      </w:pPr>
      <w:r>
        <w:rPr>
          <w:b/>
          <w:noProof/>
          <w:color w:val="034EA2"/>
          <w:sz w:val="32"/>
          <w:lang w:eastAsia="fr-FR"/>
        </w:rPr>
        <w:drawing>
          <wp:anchor distT="0" distB="0" distL="114300" distR="114300" simplePos="0" relativeHeight="251659264" behindDoc="0" locked="0" layoutInCell="1" allowOverlap="1" wp14:anchorId="2539E417" wp14:editId="38EFFAA8">
            <wp:simplePos x="0" y="0"/>
            <wp:positionH relativeFrom="margin">
              <wp:align>center</wp:align>
            </wp:positionH>
            <wp:positionV relativeFrom="margin">
              <wp:align>top</wp:align>
            </wp:positionV>
            <wp:extent cx="2922270" cy="1047750"/>
            <wp:effectExtent l="0" t="0" r="0" b="0"/>
            <wp:wrapSquare wrapText="bothSides"/>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OMEDIT PdL (2).png"/>
                    <pic:cNvPicPr/>
                  </pic:nvPicPr>
                  <pic:blipFill>
                    <a:blip r:embed="rId9">
                      <a:extLst>
                        <a:ext uri="{28A0092B-C50C-407E-A947-70E740481C1C}">
                          <a14:useLocalDpi xmlns:a14="http://schemas.microsoft.com/office/drawing/2010/main" val="0"/>
                        </a:ext>
                      </a:extLst>
                    </a:blip>
                    <a:stretch>
                      <a:fillRect/>
                    </a:stretch>
                  </pic:blipFill>
                  <pic:spPr>
                    <a:xfrm>
                      <a:off x="0" y="0"/>
                      <a:ext cx="2938517" cy="1053370"/>
                    </a:xfrm>
                    <a:prstGeom prst="rect">
                      <a:avLst/>
                    </a:prstGeom>
                  </pic:spPr>
                </pic:pic>
              </a:graphicData>
            </a:graphic>
            <wp14:sizeRelH relativeFrom="page">
              <wp14:pctWidth>0</wp14:pctWidth>
            </wp14:sizeRelH>
            <wp14:sizeRelV relativeFrom="page">
              <wp14:pctHeight>0</wp14:pctHeight>
            </wp14:sizeRelV>
          </wp:anchor>
        </w:drawing>
      </w:r>
    </w:p>
    <w:p w:rsidR="00127E8A" w:rsidRDefault="00127E8A">
      <w:pPr>
        <w:spacing w:after="0" w:line="240" w:lineRule="auto"/>
        <w:rPr>
          <w:b/>
          <w:color w:val="034EA2"/>
          <w:sz w:val="32"/>
        </w:rPr>
      </w:pPr>
    </w:p>
    <w:p w:rsidR="00127E8A" w:rsidRDefault="00127E8A">
      <w:pPr>
        <w:spacing w:after="0" w:line="240" w:lineRule="auto"/>
        <w:rPr>
          <w:b/>
          <w:color w:val="034EA2"/>
          <w:sz w:val="32"/>
        </w:rPr>
      </w:pPr>
    </w:p>
    <w:p w:rsidR="00127E8A" w:rsidRDefault="00127E8A">
      <w:pPr>
        <w:spacing w:after="0" w:line="240" w:lineRule="auto"/>
        <w:rPr>
          <w:b/>
          <w:color w:val="034EA2"/>
          <w:sz w:val="32"/>
        </w:rPr>
      </w:pPr>
    </w:p>
    <w:p w:rsidR="00127E8A" w:rsidRDefault="00127E8A">
      <w:pPr>
        <w:spacing w:after="0" w:line="240" w:lineRule="auto"/>
        <w:rPr>
          <w:b/>
          <w:color w:val="034EA2"/>
          <w:sz w:val="32"/>
        </w:rPr>
      </w:pPr>
    </w:p>
    <w:p w:rsidR="00127E8A" w:rsidRDefault="00127E8A">
      <w:pPr>
        <w:spacing w:after="0" w:line="240" w:lineRule="auto"/>
        <w:rPr>
          <w:b/>
          <w:color w:val="034EA2"/>
          <w:sz w:val="32"/>
        </w:rPr>
      </w:pPr>
    </w:p>
    <w:p w:rsidR="00127E8A" w:rsidRDefault="00127E8A">
      <w:pPr>
        <w:spacing w:after="0" w:line="240" w:lineRule="auto"/>
        <w:rPr>
          <w:b/>
          <w:color w:val="034EA2"/>
          <w:sz w:val="32"/>
        </w:rPr>
      </w:pPr>
    </w:p>
    <w:p w:rsidR="00127E8A" w:rsidRDefault="00127E8A">
      <w:pPr>
        <w:spacing w:after="0" w:line="240" w:lineRule="auto"/>
        <w:rPr>
          <w:b/>
          <w:color w:val="034EA2"/>
          <w:sz w:val="32"/>
        </w:rPr>
      </w:pPr>
    </w:p>
    <w:p w:rsidR="00127E8A" w:rsidRDefault="00127E8A">
      <w:pPr>
        <w:spacing w:after="0" w:line="240" w:lineRule="auto"/>
        <w:rPr>
          <w:b/>
          <w:color w:val="034EA2"/>
          <w:sz w:val="32"/>
        </w:rPr>
      </w:pPr>
    </w:p>
    <w:p w:rsidR="00127E8A" w:rsidRDefault="00127E8A">
      <w:pPr>
        <w:spacing w:after="0" w:line="240" w:lineRule="auto"/>
        <w:rPr>
          <w:b/>
          <w:color w:val="034EA2"/>
          <w:sz w:val="32"/>
        </w:rPr>
      </w:pPr>
    </w:p>
    <w:p w:rsidR="00127E8A" w:rsidRDefault="00127E8A">
      <w:pPr>
        <w:spacing w:after="0" w:line="240" w:lineRule="auto"/>
        <w:rPr>
          <w:b/>
          <w:color w:val="034EA2"/>
          <w:sz w:val="32"/>
        </w:rPr>
      </w:pPr>
    </w:p>
    <w:p w:rsidR="00127E8A" w:rsidRDefault="00127E8A">
      <w:pPr>
        <w:spacing w:after="0" w:line="240" w:lineRule="auto"/>
        <w:rPr>
          <w:b/>
          <w:color w:val="034EA2"/>
          <w:sz w:val="32"/>
        </w:rPr>
      </w:pPr>
    </w:p>
    <w:p w:rsidR="00127E8A" w:rsidRDefault="00127E8A">
      <w:pPr>
        <w:spacing w:after="0" w:line="240" w:lineRule="auto"/>
        <w:rPr>
          <w:b/>
          <w:color w:val="034EA2"/>
          <w:sz w:val="32"/>
        </w:rPr>
      </w:pPr>
    </w:p>
    <w:p w:rsidR="00127E8A" w:rsidRDefault="00127E8A">
      <w:pPr>
        <w:spacing w:after="0" w:line="240" w:lineRule="auto"/>
        <w:rPr>
          <w:b/>
          <w:color w:val="034EA2"/>
          <w:sz w:val="32"/>
        </w:rPr>
      </w:pPr>
    </w:p>
    <w:p w:rsidR="00127E8A" w:rsidRPr="00057586" w:rsidRDefault="009C1D0F" w:rsidP="00127E8A">
      <w:pPr>
        <w:pBdr>
          <w:top w:val="single" w:sz="12" w:space="1" w:color="8DC63F"/>
          <w:left w:val="single" w:sz="12" w:space="4" w:color="8DC63F"/>
          <w:bottom w:val="single" w:sz="12" w:space="1" w:color="8DC63F"/>
          <w:right w:val="single" w:sz="12" w:space="4" w:color="8DC63F"/>
        </w:pBdr>
        <w:spacing w:after="0" w:line="240" w:lineRule="auto"/>
        <w:jc w:val="center"/>
        <w:rPr>
          <w:color w:val="034EA2"/>
          <w:sz w:val="48"/>
        </w:rPr>
      </w:pPr>
      <w:r w:rsidRPr="00057586">
        <w:rPr>
          <w:color w:val="034EA2"/>
          <w:sz w:val="48"/>
        </w:rPr>
        <w:t xml:space="preserve">Déploiement de la </w:t>
      </w:r>
      <w:r w:rsidR="00E20DCE">
        <w:rPr>
          <w:color w:val="034EA2"/>
          <w:sz w:val="48"/>
        </w:rPr>
        <w:t>Pharmacie C</w:t>
      </w:r>
      <w:r w:rsidR="00127E8A" w:rsidRPr="00057586">
        <w:rPr>
          <w:color w:val="034EA2"/>
          <w:sz w:val="48"/>
        </w:rPr>
        <w:t>linique</w:t>
      </w:r>
      <w:r w:rsidRPr="00057586">
        <w:rPr>
          <w:color w:val="034EA2"/>
          <w:sz w:val="48"/>
        </w:rPr>
        <w:t xml:space="preserve"> en établissement</w:t>
      </w:r>
      <w:r w:rsidR="00E20DCE">
        <w:rPr>
          <w:color w:val="034EA2"/>
          <w:sz w:val="48"/>
        </w:rPr>
        <w:t>s</w:t>
      </w:r>
      <w:r w:rsidRPr="00057586">
        <w:rPr>
          <w:color w:val="034EA2"/>
          <w:sz w:val="48"/>
        </w:rPr>
        <w:t xml:space="preserve"> de santé</w:t>
      </w:r>
      <w:r w:rsidR="00127E8A" w:rsidRPr="00057586">
        <w:rPr>
          <w:color w:val="034EA2"/>
          <w:sz w:val="48"/>
        </w:rPr>
        <w:t> :</w:t>
      </w:r>
    </w:p>
    <w:p w:rsidR="00057586" w:rsidRPr="00057586" w:rsidRDefault="00057586" w:rsidP="00127E8A">
      <w:pPr>
        <w:pBdr>
          <w:top w:val="single" w:sz="12" w:space="1" w:color="8DC63F"/>
          <w:left w:val="single" w:sz="12" w:space="4" w:color="8DC63F"/>
          <w:bottom w:val="single" w:sz="12" w:space="1" w:color="8DC63F"/>
          <w:right w:val="single" w:sz="12" w:space="4" w:color="8DC63F"/>
        </w:pBdr>
        <w:spacing w:after="0" w:line="240" w:lineRule="auto"/>
        <w:jc w:val="center"/>
        <w:rPr>
          <w:b/>
          <w:color w:val="034EA2"/>
          <w:sz w:val="56"/>
        </w:rPr>
      </w:pPr>
    </w:p>
    <w:p w:rsidR="00127E8A" w:rsidRPr="00057586" w:rsidRDefault="00057586" w:rsidP="00127E8A">
      <w:pPr>
        <w:pBdr>
          <w:top w:val="single" w:sz="12" w:space="1" w:color="8DC63F"/>
          <w:left w:val="single" w:sz="12" w:space="4" w:color="8DC63F"/>
          <w:bottom w:val="single" w:sz="12" w:space="1" w:color="8DC63F"/>
          <w:right w:val="single" w:sz="12" w:space="4" w:color="8DC63F"/>
        </w:pBdr>
        <w:spacing w:after="0" w:line="240" w:lineRule="auto"/>
        <w:jc w:val="center"/>
        <w:rPr>
          <w:b/>
          <w:color w:val="034EA2"/>
          <w:sz w:val="56"/>
        </w:rPr>
      </w:pPr>
      <w:r w:rsidRPr="00057586">
        <w:rPr>
          <w:b/>
          <w:color w:val="034EA2"/>
          <w:sz w:val="56"/>
        </w:rPr>
        <w:t xml:space="preserve">Guide </w:t>
      </w:r>
      <w:r>
        <w:rPr>
          <w:b/>
          <w:color w:val="034EA2"/>
          <w:sz w:val="56"/>
        </w:rPr>
        <w:t xml:space="preserve">méthodologique </w:t>
      </w:r>
      <w:r w:rsidR="00E20DCE">
        <w:rPr>
          <w:b/>
          <w:color w:val="034EA2"/>
          <w:sz w:val="56"/>
        </w:rPr>
        <w:t>pour l’élaboration</w:t>
      </w:r>
      <w:r w:rsidRPr="00057586">
        <w:rPr>
          <w:b/>
          <w:color w:val="034EA2"/>
          <w:sz w:val="56"/>
        </w:rPr>
        <w:t xml:space="preserve"> </w:t>
      </w:r>
      <w:r w:rsidR="00E20DCE">
        <w:rPr>
          <w:b/>
          <w:color w:val="034EA2"/>
          <w:sz w:val="56"/>
        </w:rPr>
        <w:t>d’</w:t>
      </w:r>
      <w:r w:rsidRPr="00057586">
        <w:rPr>
          <w:b/>
          <w:color w:val="034EA2"/>
          <w:sz w:val="56"/>
        </w:rPr>
        <w:t>une stratégie de pharmacie clinique</w:t>
      </w:r>
    </w:p>
    <w:p w:rsidR="00127E8A" w:rsidRDefault="00127E8A">
      <w:pPr>
        <w:spacing w:after="0" w:line="240" w:lineRule="auto"/>
        <w:rPr>
          <w:b/>
          <w:color w:val="034EA2"/>
          <w:sz w:val="32"/>
        </w:rPr>
      </w:pPr>
    </w:p>
    <w:p w:rsidR="00537C2F" w:rsidRDefault="00537C2F" w:rsidP="00C60262">
      <w:pPr>
        <w:pBdr>
          <w:bottom w:val="single" w:sz="12" w:space="1" w:color="034EA2"/>
        </w:pBdr>
        <w:spacing w:after="0"/>
        <w:jc w:val="center"/>
        <w:rPr>
          <w:b/>
          <w:color w:val="034EA2"/>
          <w:sz w:val="32"/>
        </w:rPr>
        <w:sectPr w:rsidR="00537C2F">
          <w:headerReference w:type="default" r:id="rId10"/>
          <w:footerReference w:type="default" r:id="rId11"/>
          <w:pgSz w:w="11906" w:h="16838"/>
          <w:pgMar w:top="1417" w:right="1417" w:bottom="1417" w:left="1417" w:header="708" w:footer="708" w:gutter="0"/>
          <w:cols w:space="708"/>
          <w:docGrid w:linePitch="360"/>
        </w:sectPr>
      </w:pPr>
    </w:p>
    <w:p w:rsidR="00127E8A" w:rsidRPr="00917A50" w:rsidRDefault="00AB6BE2" w:rsidP="00917A50">
      <w:pPr>
        <w:pBdr>
          <w:bottom w:val="single" w:sz="12" w:space="1" w:color="034EA2"/>
        </w:pBdr>
        <w:jc w:val="center"/>
        <w:rPr>
          <w:b/>
          <w:color w:val="034EA2"/>
          <w:sz w:val="32"/>
          <w:szCs w:val="32"/>
        </w:rPr>
      </w:pPr>
      <w:r w:rsidRPr="00917A50">
        <w:rPr>
          <w:b/>
          <w:color w:val="034EA2"/>
          <w:sz w:val="32"/>
          <w:szCs w:val="32"/>
        </w:rPr>
        <w:lastRenderedPageBreak/>
        <w:t>CONTENU</w:t>
      </w:r>
    </w:p>
    <w:p w:rsidR="00127E8A" w:rsidRDefault="00127E8A">
      <w:pPr>
        <w:spacing w:after="0" w:line="240" w:lineRule="auto"/>
        <w:rPr>
          <w:b/>
          <w:color w:val="034EA2"/>
          <w:sz w:val="32"/>
        </w:rPr>
      </w:pPr>
    </w:p>
    <w:p w:rsidR="00C92717" w:rsidRDefault="00917A50">
      <w:pPr>
        <w:pStyle w:val="TM1"/>
        <w:tabs>
          <w:tab w:val="right" w:leader="dot" w:pos="9062"/>
        </w:tabs>
        <w:rPr>
          <w:rFonts w:asciiTheme="minorHAnsi" w:eastAsiaTheme="minorEastAsia" w:hAnsiTheme="minorHAnsi" w:cstheme="minorBidi"/>
          <w:noProof/>
          <w:lang w:eastAsia="fr-FR"/>
        </w:rPr>
      </w:pPr>
      <w:r>
        <w:rPr>
          <w:b/>
          <w:color w:val="034EA2"/>
          <w:sz w:val="32"/>
        </w:rPr>
        <w:fldChar w:fldCharType="begin"/>
      </w:r>
      <w:r>
        <w:rPr>
          <w:b/>
          <w:color w:val="034EA2"/>
          <w:sz w:val="32"/>
        </w:rPr>
        <w:instrText xml:space="preserve"> TOC \h \z \t "Style1;1;Style2;2" </w:instrText>
      </w:r>
      <w:r>
        <w:rPr>
          <w:b/>
          <w:color w:val="034EA2"/>
          <w:sz w:val="32"/>
        </w:rPr>
        <w:fldChar w:fldCharType="separate"/>
      </w:r>
      <w:hyperlink w:anchor="_Toc524602860" w:history="1">
        <w:r w:rsidR="00C92717" w:rsidRPr="00A63C4A">
          <w:rPr>
            <w:rStyle w:val="Lienhypertexte"/>
            <w:noProof/>
          </w:rPr>
          <w:t>CONTEXTE</w:t>
        </w:r>
        <w:r w:rsidR="00C92717">
          <w:rPr>
            <w:noProof/>
            <w:webHidden/>
          </w:rPr>
          <w:tab/>
        </w:r>
        <w:r w:rsidR="00C92717">
          <w:rPr>
            <w:noProof/>
            <w:webHidden/>
          </w:rPr>
          <w:fldChar w:fldCharType="begin"/>
        </w:r>
        <w:r w:rsidR="00C92717">
          <w:rPr>
            <w:noProof/>
            <w:webHidden/>
          </w:rPr>
          <w:instrText xml:space="preserve"> PAGEREF _Toc524602860 \h </w:instrText>
        </w:r>
        <w:r w:rsidR="00C92717">
          <w:rPr>
            <w:noProof/>
            <w:webHidden/>
          </w:rPr>
        </w:r>
        <w:r w:rsidR="00C92717">
          <w:rPr>
            <w:noProof/>
            <w:webHidden/>
          </w:rPr>
          <w:fldChar w:fldCharType="separate"/>
        </w:r>
        <w:r w:rsidR="009C04A0">
          <w:rPr>
            <w:noProof/>
            <w:webHidden/>
          </w:rPr>
          <w:t>3</w:t>
        </w:r>
        <w:r w:rsidR="00C92717">
          <w:rPr>
            <w:noProof/>
            <w:webHidden/>
          </w:rPr>
          <w:fldChar w:fldCharType="end"/>
        </w:r>
      </w:hyperlink>
    </w:p>
    <w:p w:rsidR="00C92717" w:rsidRDefault="00986060">
      <w:pPr>
        <w:pStyle w:val="TM2"/>
        <w:tabs>
          <w:tab w:val="left" w:pos="660"/>
          <w:tab w:val="right" w:leader="dot" w:pos="9062"/>
        </w:tabs>
        <w:rPr>
          <w:rFonts w:asciiTheme="minorHAnsi" w:eastAsiaTheme="minorEastAsia" w:hAnsiTheme="minorHAnsi" w:cstheme="minorBidi"/>
          <w:noProof/>
          <w:lang w:eastAsia="fr-FR"/>
        </w:rPr>
      </w:pPr>
      <w:hyperlink w:anchor="_Toc524602861" w:history="1">
        <w:r w:rsidR="00C92717" w:rsidRPr="00A63C4A">
          <w:rPr>
            <w:rStyle w:val="Lienhypertexte"/>
            <w:noProof/>
          </w:rPr>
          <w:t>1.</w:t>
        </w:r>
        <w:r w:rsidR="00C92717">
          <w:rPr>
            <w:rFonts w:asciiTheme="minorHAnsi" w:eastAsiaTheme="minorEastAsia" w:hAnsiTheme="minorHAnsi" w:cstheme="minorBidi"/>
            <w:noProof/>
            <w:lang w:eastAsia="fr-FR"/>
          </w:rPr>
          <w:tab/>
        </w:r>
        <w:r w:rsidR="00C92717" w:rsidRPr="00A63C4A">
          <w:rPr>
            <w:rStyle w:val="Lienhypertexte"/>
            <w:noProof/>
          </w:rPr>
          <w:t>Définition de la pharmacie clinique selon la Société Française de Pharmacie Clinique</w:t>
        </w:r>
        <w:r w:rsidR="00C92717">
          <w:rPr>
            <w:noProof/>
            <w:webHidden/>
          </w:rPr>
          <w:tab/>
        </w:r>
        <w:r w:rsidR="00C92717">
          <w:rPr>
            <w:noProof/>
            <w:webHidden/>
          </w:rPr>
          <w:fldChar w:fldCharType="begin"/>
        </w:r>
        <w:r w:rsidR="00C92717">
          <w:rPr>
            <w:noProof/>
            <w:webHidden/>
          </w:rPr>
          <w:instrText xml:space="preserve"> PAGEREF _Toc524602861 \h </w:instrText>
        </w:r>
        <w:r w:rsidR="00C92717">
          <w:rPr>
            <w:noProof/>
            <w:webHidden/>
          </w:rPr>
        </w:r>
        <w:r w:rsidR="00C92717">
          <w:rPr>
            <w:noProof/>
            <w:webHidden/>
          </w:rPr>
          <w:fldChar w:fldCharType="separate"/>
        </w:r>
        <w:r w:rsidR="009C04A0">
          <w:rPr>
            <w:noProof/>
            <w:webHidden/>
          </w:rPr>
          <w:t>3</w:t>
        </w:r>
        <w:r w:rsidR="00C92717">
          <w:rPr>
            <w:noProof/>
            <w:webHidden/>
          </w:rPr>
          <w:fldChar w:fldCharType="end"/>
        </w:r>
      </w:hyperlink>
    </w:p>
    <w:p w:rsidR="00C92717" w:rsidRDefault="00986060">
      <w:pPr>
        <w:pStyle w:val="TM2"/>
        <w:tabs>
          <w:tab w:val="left" w:pos="660"/>
          <w:tab w:val="right" w:leader="dot" w:pos="9062"/>
        </w:tabs>
        <w:rPr>
          <w:rFonts w:asciiTheme="minorHAnsi" w:eastAsiaTheme="minorEastAsia" w:hAnsiTheme="minorHAnsi" w:cstheme="minorBidi"/>
          <w:noProof/>
          <w:lang w:eastAsia="fr-FR"/>
        </w:rPr>
      </w:pPr>
      <w:hyperlink w:anchor="_Toc524602862" w:history="1">
        <w:r w:rsidR="00C92717" w:rsidRPr="00A63C4A">
          <w:rPr>
            <w:rStyle w:val="Lienhypertexte"/>
            <w:noProof/>
          </w:rPr>
          <w:t>2.</w:t>
        </w:r>
        <w:r w:rsidR="00C92717">
          <w:rPr>
            <w:rFonts w:asciiTheme="minorHAnsi" w:eastAsiaTheme="minorEastAsia" w:hAnsiTheme="minorHAnsi" w:cstheme="minorBidi"/>
            <w:noProof/>
            <w:lang w:eastAsia="fr-FR"/>
          </w:rPr>
          <w:tab/>
        </w:r>
        <w:r w:rsidR="00C92717" w:rsidRPr="00A63C4A">
          <w:rPr>
            <w:rStyle w:val="Lienhypertexte"/>
            <w:noProof/>
          </w:rPr>
          <w:t>Bases législatives et réglementaires relatives au déploiement de la pharmacie clinique</w:t>
        </w:r>
        <w:r w:rsidR="00C92717">
          <w:rPr>
            <w:noProof/>
            <w:webHidden/>
          </w:rPr>
          <w:tab/>
        </w:r>
        <w:r w:rsidR="00C92717">
          <w:rPr>
            <w:noProof/>
            <w:webHidden/>
          </w:rPr>
          <w:fldChar w:fldCharType="begin"/>
        </w:r>
        <w:r w:rsidR="00C92717">
          <w:rPr>
            <w:noProof/>
            <w:webHidden/>
          </w:rPr>
          <w:instrText xml:space="preserve"> PAGEREF _Toc524602862 \h </w:instrText>
        </w:r>
        <w:r w:rsidR="00C92717">
          <w:rPr>
            <w:noProof/>
            <w:webHidden/>
          </w:rPr>
        </w:r>
        <w:r w:rsidR="00C92717">
          <w:rPr>
            <w:noProof/>
            <w:webHidden/>
          </w:rPr>
          <w:fldChar w:fldCharType="separate"/>
        </w:r>
        <w:r w:rsidR="009C04A0">
          <w:rPr>
            <w:noProof/>
            <w:webHidden/>
          </w:rPr>
          <w:t>3</w:t>
        </w:r>
        <w:r w:rsidR="00C92717">
          <w:rPr>
            <w:noProof/>
            <w:webHidden/>
          </w:rPr>
          <w:fldChar w:fldCharType="end"/>
        </w:r>
      </w:hyperlink>
    </w:p>
    <w:p w:rsidR="00C92717" w:rsidRDefault="00986060">
      <w:pPr>
        <w:pStyle w:val="TM2"/>
        <w:tabs>
          <w:tab w:val="left" w:pos="660"/>
          <w:tab w:val="right" w:leader="dot" w:pos="9062"/>
        </w:tabs>
        <w:rPr>
          <w:rFonts w:asciiTheme="minorHAnsi" w:eastAsiaTheme="minorEastAsia" w:hAnsiTheme="minorHAnsi" w:cstheme="minorBidi"/>
          <w:noProof/>
          <w:lang w:eastAsia="fr-FR"/>
        </w:rPr>
      </w:pPr>
      <w:hyperlink w:anchor="_Toc524602863" w:history="1">
        <w:r w:rsidR="00C92717" w:rsidRPr="00A63C4A">
          <w:rPr>
            <w:rStyle w:val="Lienhypertexte"/>
            <w:noProof/>
          </w:rPr>
          <w:t>3.</w:t>
        </w:r>
        <w:r w:rsidR="00C92717">
          <w:rPr>
            <w:rFonts w:asciiTheme="minorHAnsi" w:eastAsiaTheme="minorEastAsia" w:hAnsiTheme="minorHAnsi" w:cstheme="minorBidi"/>
            <w:noProof/>
            <w:lang w:eastAsia="fr-FR"/>
          </w:rPr>
          <w:tab/>
        </w:r>
        <w:r w:rsidR="00C92717" w:rsidRPr="00A63C4A">
          <w:rPr>
            <w:rStyle w:val="Lienhypertexte"/>
            <w:noProof/>
          </w:rPr>
          <w:t>Etat des lieux régional</w:t>
        </w:r>
        <w:r w:rsidR="00C92717">
          <w:rPr>
            <w:noProof/>
            <w:webHidden/>
          </w:rPr>
          <w:tab/>
        </w:r>
        <w:r w:rsidR="00C92717">
          <w:rPr>
            <w:noProof/>
            <w:webHidden/>
          </w:rPr>
          <w:fldChar w:fldCharType="begin"/>
        </w:r>
        <w:r w:rsidR="00C92717">
          <w:rPr>
            <w:noProof/>
            <w:webHidden/>
          </w:rPr>
          <w:instrText xml:space="preserve"> PAGEREF _Toc524602863 \h </w:instrText>
        </w:r>
        <w:r w:rsidR="00C92717">
          <w:rPr>
            <w:noProof/>
            <w:webHidden/>
          </w:rPr>
        </w:r>
        <w:r w:rsidR="00C92717">
          <w:rPr>
            <w:noProof/>
            <w:webHidden/>
          </w:rPr>
          <w:fldChar w:fldCharType="separate"/>
        </w:r>
        <w:r w:rsidR="009C04A0">
          <w:rPr>
            <w:noProof/>
            <w:webHidden/>
          </w:rPr>
          <w:t>3</w:t>
        </w:r>
        <w:r w:rsidR="00C92717">
          <w:rPr>
            <w:noProof/>
            <w:webHidden/>
          </w:rPr>
          <w:fldChar w:fldCharType="end"/>
        </w:r>
      </w:hyperlink>
    </w:p>
    <w:p w:rsidR="00C92717" w:rsidRDefault="00986060">
      <w:pPr>
        <w:pStyle w:val="TM2"/>
        <w:tabs>
          <w:tab w:val="left" w:pos="660"/>
          <w:tab w:val="right" w:leader="dot" w:pos="9062"/>
        </w:tabs>
        <w:rPr>
          <w:rFonts w:asciiTheme="minorHAnsi" w:eastAsiaTheme="minorEastAsia" w:hAnsiTheme="minorHAnsi" w:cstheme="minorBidi"/>
          <w:noProof/>
          <w:lang w:eastAsia="fr-FR"/>
        </w:rPr>
      </w:pPr>
      <w:hyperlink w:anchor="_Toc524602864" w:history="1">
        <w:r w:rsidR="00C92717" w:rsidRPr="00A63C4A">
          <w:rPr>
            <w:rStyle w:val="Lienhypertexte"/>
            <w:noProof/>
          </w:rPr>
          <w:t>4.</w:t>
        </w:r>
        <w:r w:rsidR="00C92717">
          <w:rPr>
            <w:rFonts w:asciiTheme="minorHAnsi" w:eastAsiaTheme="minorEastAsia" w:hAnsiTheme="minorHAnsi" w:cstheme="minorBidi"/>
            <w:noProof/>
            <w:lang w:eastAsia="fr-FR"/>
          </w:rPr>
          <w:tab/>
        </w:r>
        <w:r w:rsidR="00C92717" w:rsidRPr="00A63C4A">
          <w:rPr>
            <w:rStyle w:val="Lienhypertexte"/>
            <w:noProof/>
          </w:rPr>
          <w:t>Le nouveau modèle de pharmacie clinique :</w:t>
        </w:r>
        <w:r w:rsidR="00C92717">
          <w:rPr>
            <w:noProof/>
            <w:webHidden/>
          </w:rPr>
          <w:tab/>
        </w:r>
        <w:r w:rsidR="00C92717">
          <w:rPr>
            <w:noProof/>
            <w:webHidden/>
          </w:rPr>
          <w:fldChar w:fldCharType="begin"/>
        </w:r>
        <w:r w:rsidR="00C92717">
          <w:rPr>
            <w:noProof/>
            <w:webHidden/>
          </w:rPr>
          <w:instrText xml:space="preserve"> PAGEREF _Toc524602864 \h </w:instrText>
        </w:r>
        <w:r w:rsidR="00C92717">
          <w:rPr>
            <w:noProof/>
            <w:webHidden/>
          </w:rPr>
        </w:r>
        <w:r w:rsidR="00C92717">
          <w:rPr>
            <w:noProof/>
            <w:webHidden/>
          </w:rPr>
          <w:fldChar w:fldCharType="separate"/>
        </w:r>
        <w:r w:rsidR="009C04A0">
          <w:rPr>
            <w:noProof/>
            <w:webHidden/>
          </w:rPr>
          <w:t>4</w:t>
        </w:r>
        <w:r w:rsidR="00C92717">
          <w:rPr>
            <w:noProof/>
            <w:webHidden/>
          </w:rPr>
          <w:fldChar w:fldCharType="end"/>
        </w:r>
      </w:hyperlink>
    </w:p>
    <w:p w:rsidR="00C92717" w:rsidRDefault="00986060">
      <w:pPr>
        <w:pStyle w:val="TM2"/>
        <w:tabs>
          <w:tab w:val="left" w:pos="660"/>
          <w:tab w:val="right" w:leader="dot" w:pos="9062"/>
        </w:tabs>
        <w:rPr>
          <w:rFonts w:asciiTheme="minorHAnsi" w:eastAsiaTheme="minorEastAsia" w:hAnsiTheme="minorHAnsi" w:cstheme="minorBidi"/>
          <w:noProof/>
          <w:lang w:eastAsia="fr-FR"/>
        </w:rPr>
      </w:pPr>
      <w:hyperlink w:anchor="_Toc524602865" w:history="1">
        <w:r w:rsidR="00C92717" w:rsidRPr="00A63C4A">
          <w:rPr>
            <w:rStyle w:val="Lienhypertexte"/>
            <w:noProof/>
          </w:rPr>
          <w:t>5.</w:t>
        </w:r>
        <w:r w:rsidR="00C92717">
          <w:rPr>
            <w:rFonts w:asciiTheme="minorHAnsi" w:eastAsiaTheme="minorEastAsia" w:hAnsiTheme="minorHAnsi" w:cstheme="minorBidi"/>
            <w:noProof/>
            <w:lang w:eastAsia="fr-FR"/>
          </w:rPr>
          <w:tab/>
        </w:r>
        <w:r w:rsidR="00C92717" w:rsidRPr="00A63C4A">
          <w:rPr>
            <w:rStyle w:val="Lienhypertexte"/>
            <w:noProof/>
          </w:rPr>
          <w:t>Enjeux actuels</w:t>
        </w:r>
        <w:r w:rsidR="00C92717">
          <w:rPr>
            <w:noProof/>
            <w:webHidden/>
          </w:rPr>
          <w:tab/>
        </w:r>
        <w:r w:rsidR="00C92717">
          <w:rPr>
            <w:noProof/>
            <w:webHidden/>
          </w:rPr>
          <w:fldChar w:fldCharType="begin"/>
        </w:r>
        <w:r w:rsidR="00C92717">
          <w:rPr>
            <w:noProof/>
            <w:webHidden/>
          </w:rPr>
          <w:instrText xml:space="preserve"> PAGEREF _Toc524602865 \h </w:instrText>
        </w:r>
        <w:r w:rsidR="00C92717">
          <w:rPr>
            <w:noProof/>
            <w:webHidden/>
          </w:rPr>
        </w:r>
        <w:r w:rsidR="00C92717">
          <w:rPr>
            <w:noProof/>
            <w:webHidden/>
          </w:rPr>
          <w:fldChar w:fldCharType="separate"/>
        </w:r>
        <w:r w:rsidR="009C04A0">
          <w:rPr>
            <w:noProof/>
            <w:webHidden/>
          </w:rPr>
          <w:t>5</w:t>
        </w:r>
        <w:r w:rsidR="00C92717">
          <w:rPr>
            <w:noProof/>
            <w:webHidden/>
          </w:rPr>
          <w:fldChar w:fldCharType="end"/>
        </w:r>
      </w:hyperlink>
    </w:p>
    <w:p w:rsidR="00C92717" w:rsidRDefault="00986060">
      <w:pPr>
        <w:pStyle w:val="TM1"/>
        <w:tabs>
          <w:tab w:val="right" w:leader="dot" w:pos="9062"/>
        </w:tabs>
        <w:rPr>
          <w:rFonts w:asciiTheme="minorHAnsi" w:eastAsiaTheme="minorEastAsia" w:hAnsiTheme="minorHAnsi" w:cstheme="minorBidi"/>
          <w:noProof/>
          <w:lang w:eastAsia="fr-FR"/>
        </w:rPr>
      </w:pPr>
      <w:hyperlink w:anchor="_Toc524602866" w:history="1">
        <w:r w:rsidR="00C92717" w:rsidRPr="00A63C4A">
          <w:rPr>
            <w:rStyle w:val="Lienhypertexte"/>
            <w:noProof/>
          </w:rPr>
          <w:t>INTRODUCTION</w:t>
        </w:r>
        <w:r w:rsidR="00C92717">
          <w:rPr>
            <w:noProof/>
            <w:webHidden/>
          </w:rPr>
          <w:tab/>
        </w:r>
        <w:r w:rsidR="00C92717">
          <w:rPr>
            <w:noProof/>
            <w:webHidden/>
          </w:rPr>
          <w:fldChar w:fldCharType="begin"/>
        </w:r>
        <w:r w:rsidR="00C92717">
          <w:rPr>
            <w:noProof/>
            <w:webHidden/>
          </w:rPr>
          <w:instrText xml:space="preserve"> PAGEREF _Toc524602866 \h </w:instrText>
        </w:r>
        <w:r w:rsidR="00C92717">
          <w:rPr>
            <w:noProof/>
            <w:webHidden/>
          </w:rPr>
        </w:r>
        <w:r w:rsidR="00C92717">
          <w:rPr>
            <w:noProof/>
            <w:webHidden/>
          </w:rPr>
          <w:fldChar w:fldCharType="separate"/>
        </w:r>
        <w:r w:rsidR="009C04A0">
          <w:rPr>
            <w:noProof/>
            <w:webHidden/>
          </w:rPr>
          <w:t>6</w:t>
        </w:r>
        <w:r w:rsidR="00C92717">
          <w:rPr>
            <w:noProof/>
            <w:webHidden/>
          </w:rPr>
          <w:fldChar w:fldCharType="end"/>
        </w:r>
      </w:hyperlink>
    </w:p>
    <w:p w:rsidR="00C92717" w:rsidRDefault="00986060">
      <w:pPr>
        <w:pStyle w:val="TM2"/>
        <w:tabs>
          <w:tab w:val="left" w:pos="660"/>
          <w:tab w:val="right" w:leader="dot" w:pos="9062"/>
        </w:tabs>
        <w:rPr>
          <w:rFonts w:asciiTheme="minorHAnsi" w:eastAsiaTheme="minorEastAsia" w:hAnsiTheme="minorHAnsi" w:cstheme="minorBidi"/>
          <w:noProof/>
          <w:lang w:eastAsia="fr-FR"/>
        </w:rPr>
      </w:pPr>
      <w:hyperlink w:anchor="_Toc524602867" w:history="1">
        <w:r w:rsidR="00C92717" w:rsidRPr="00A63C4A">
          <w:rPr>
            <w:rStyle w:val="Lienhypertexte"/>
            <w:noProof/>
          </w:rPr>
          <w:t>1.</w:t>
        </w:r>
        <w:r w:rsidR="00C92717">
          <w:rPr>
            <w:rFonts w:asciiTheme="minorHAnsi" w:eastAsiaTheme="minorEastAsia" w:hAnsiTheme="minorHAnsi" w:cstheme="minorBidi"/>
            <w:noProof/>
            <w:lang w:eastAsia="fr-FR"/>
          </w:rPr>
          <w:tab/>
        </w:r>
        <w:r w:rsidR="00C92717" w:rsidRPr="00A63C4A">
          <w:rPr>
            <w:rStyle w:val="Lienhypertexte"/>
            <w:noProof/>
          </w:rPr>
          <w:t>Objectifs de ce guide</w:t>
        </w:r>
        <w:r w:rsidR="00C92717">
          <w:rPr>
            <w:noProof/>
            <w:webHidden/>
          </w:rPr>
          <w:tab/>
        </w:r>
        <w:r w:rsidR="00C92717">
          <w:rPr>
            <w:noProof/>
            <w:webHidden/>
          </w:rPr>
          <w:fldChar w:fldCharType="begin"/>
        </w:r>
        <w:r w:rsidR="00C92717">
          <w:rPr>
            <w:noProof/>
            <w:webHidden/>
          </w:rPr>
          <w:instrText xml:space="preserve"> PAGEREF _Toc524602867 \h </w:instrText>
        </w:r>
        <w:r w:rsidR="00C92717">
          <w:rPr>
            <w:noProof/>
            <w:webHidden/>
          </w:rPr>
        </w:r>
        <w:r w:rsidR="00C92717">
          <w:rPr>
            <w:noProof/>
            <w:webHidden/>
          </w:rPr>
          <w:fldChar w:fldCharType="separate"/>
        </w:r>
        <w:r w:rsidR="009C04A0">
          <w:rPr>
            <w:noProof/>
            <w:webHidden/>
          </w:rPr>
          <w:t>6</w:t>
        </w:r>
        <w:r w:rsidR="00C92717">
          <w:rPr>
            <w:noProof/>
            <w:webHidden/>
          </w:rPr>
          <w:fldChar w:fldCharType="end"/>
        </w:r>
      </w:hyperlink>
    </w:p>
    <w:p w:rsidR="00C92717" w:rsidRDefault="00986060">
      <w:pPr>
        <w:pStyle w:val="TM2"/>
        <w:tabs>
          <w:tab w:val="left" w:pos="660"/>
          <w:tab w:val="right" w:leader="dot" w:pos="9062"/>
        </w:tabs>
        <w:rPr>
          <w:rFonts w:asciiTheme="minorHAnsi" w:eastAsiaTheme="minorEastAsia" w:hAnsiTheme="minorHAnsi" w:cstheme="minorBidi"/>
          <w:noProof/>
          <w:lang w:eastAsia="fr-FR"/>
        </w:rPr>
      </w:pPr>
      <w:hyperlink w:anchor="_Toc524602868" w:history="1">
        <w:r w:rsidR="00C92717" w:rsidRPr="00A63C4A">
          <w:rPr>
            <w:rStyle w:val="Lienhypertexte"/>
            <w:noProof/>
          </w:rPr>
          <w:t>2.</w:t>
        </w:r>
        <w:r w:rsidR="00C92717">
          <w:rPr>
            <w:rFonts w:asciiTheme="minorHAnsi" w:eastAsiaTheme="minorEastAsia" w:hAnsiTheme="minorHAnsi" w:cstheme="minorBidi"/>
            <w:noProof/>
            <w:lang w:eastAsia="fr-FR"/>
          </w:rPr>
          <w:tab/>
        </w:r>
        <w:r w:rsidR="00C92717" w:rsidRPr="00A63C4A">
          <w:rPr>
            <w:rStyle w:val="Lienhypertexte"/>
            <w:noProof/>
          </w:rPr>
          <w:t>Que contient ce guide ?</w:t>
        </w:r>
        <w:r w:rsidR="00C92717">
          <w:rPr>
            <w:noProof/>
            <w:webHidden/>
          </w:rPr>
          <w:tab/>
        </w:r>
        <w:r w:rsidR="00C92717">
          <w:rPr>
            <w:noProof/>
            <w:webHidden/>
          </w:rPr>
          <w:fldChar w:fldCharType="begin"/>
        </w:r>
        <w:r w:rsidR="00C92717">
          <w:rPr>
            <w:noProof/>
            <w:webHidden/>
          </w:rPr>
          <w:instrText xml:space="preserve"> PAGEREF _Toc524602868 \h </w:instrText>
        </w:r>
        <w:r w:rsidR="00C92717">
          <w:rPr>
            <w:noProof/>
            <w:webHidden/>
          </w:rPr>
        </w:r>
        <w:r w:rsidR="00C92717">
          <w:rPr>
            <w:noProof/>
            <w:webHidden/>
          </w:rPr>
          <w:fldChar w:fldCharType="separate"/>
        </w:r>
        <w:r w:rsidR="009C04A0">
          <w:rPr>
            <w:noProof/>
            <w:webHidden/>
          </w:rPr>
          <w:t>6</w:t>
        </w:r>
        <w:r w:rsidR="00C92717">
          <w:rPr>
            <w:noProof/>
            <w:webHidden/>
          </w:rPr>
          <w:fldChar w:fldCharType="end"/>
        </w:r>
      </w:hyperlink>
    </w:p>
    <w:p w:rsidR="00C92717" w:rsidRDefault="00986060">
      <w:pPr>
        <w:pStyle w:val="TM2"/>
        <w:tabs>
          <w:tab w:val="left" w:pos="660"/>
          <w:tab w:val="right" w:leader="dot" w:pos="9062"/>
        </w:tabs>
        <w:rPr>
          <w:rFonts w:asciiTheme="minorHAnsi" w:eastAsiaTheme="minorEastAsia" w:hAnsiTheme="minorHAnsi" w:cstheme="minorBidi"/>
          <w:noProof/>
          <w:lang w:eastAsia="fr-FR"/>
        </w:rPr>
      </w:pPr>
      <w:hyperlink w:anchor="_Toc524602869" w:history="1">
        <w:r w:rsidR="00C92717" w:rsidRPr="00A63C4A">
          <w:rPr>
            <w:rStyle w:val="Lienhypertexte"/>
            <w:noProof/>
          </w:rPr>
          <w:t>3.</w:t>
        </w:r>
        <w:r w:rsidR="00C92717">
          <w:rPr>
            <w:rFonts w:asciiTheme="minorHAnsi" w:eastAsiaTheme="minorEastAsia" w:hAnsiTheme="minorHAnsi" w:cstheme="minorBidi"/>
            <w:noProof/>
            <w:lang w:eastAsia="fr-FR"/>
          </w:rPr>
          <w:tab/>
        </w:r>
        <w:r w:rsidR="00C92717" w:rsidRPr="00A63C4A">
          <w:rPr>
            <w:rStyle w:val="Lienhypertexte"/>
            <w:noProof/>
          </w:rPr>
          <w:t>A qui s’adresse ce guide et comment l’utiliser ?</w:t>
        </w:r>
        <w:r w:rsidR="00C92717">
          <w:rPr>
            <w:noProof/>
            <w:webHidden/>
          </w:rPr>
          <w:tab/>
        </w:r>
        <w:r w:rsidR="00C92717">
          <w:rPr>
            <w:noProof/>
            <w:webHidden/>
          </w:rPr>
          <w:fldChar w:fldCharType="begin"/>
        </w:r>
        <w:r w:rsidR="00C92717">
          <w:rPr>
            <w:noProof/>
            <w:webHidden/>
          </w:rPr>
          <w:instrText xml:space="preserve"> PAGEREF _Toc524602869 \h </w:instrText>
        </w:r>
        <w:r w:rsidR="00C92717">
          <w:rPr>
            <w:noProof/>
            <w:webHidden/>
          </w:rPr>
        </w:r>
        <w:r w:rsidR="00C92717">
          <w:rPr>
            <w:noProof/>
            <w:webHidden/>
          </w:rPr>
          <w:fldChar w:fldCharType="separate"/>
        </w:r>
        <w:r w:rsidR="009C04A0">
          <w:rPr>
            <w:noProof/>
            <w:webHidden/>
          </w:rPr>
          <w:t>6</w:t>
        </w:r>
        <w:r w:rsidR="00C92717">
          <w:rPr>
            <w:noProof/>
            <w:webHidden/>
          </w:rPr>
          <w:fldChar w:fldCharType="end"/>
        </w:r>
      </w:hyperlink>
    </w:p>
    <w:p w:rsidR="00C92717" w:rsidRDefault="00986060">
      <w:pPr>
        <w:pStyle w:val="TM1"/>
        <w:tabs>
          <w:tab w:val="right" w:leader="dot" w:pos="9062"/>
        </w:tabs>
        <w:rPr>
          <w:rFonts w:asciiTheme="minorHAnsi" w:eastAsiaTheme="minorEastAsia" w:hAnsiTheme="minorHAnsi" w:cstheme="minorBidi"/>
          <w:noProof/>
          <w:lang w:eastAsia="fr-FR"/>
        </w:rPr>
      </w:pPr>
      <w:hyperlink w:anchor="_Toc524602870" w:history="1">
        <w:r w:rsidR="00C92717" w:rsidRPr="00A63C4A">
          <w:rPr>
            <w:rStyle w:val="Lienhypertexte"/>
            <w:noProof/>
          </w:rPr>
          <w:t>DEFINIR UNE STRATEGIE DE PHARMACIE CLINIQUE</w:t>
        </w:r>
        <w:r w:rsidR="00C92717">
          <w:rPr>
            <w:noProof/>
            <w:webHidden/>
          </w:rPr>
          <w:tab/>
        </w:r>
        <w:r w:rsidR="00C92717">
          <w:rPr>
            <w:noProof/>
            <w:webHidden/>
          </w:rPr>
          <w:fldChar w:fldCharType="begin"/>
        </w:r>
        <w:r w:rsidR="00C92717">
          <w:rPr>
            <w:noProof/>
            <w:webHidden/>
          </w:rPr>
          <w:instrText xml:space="preserve"> PAGEREF _Toc524602870 \h </w:instrText>
        </w:r>
        <w:r w:rsidR="00C92717">
          <w:rPr>
            <w:noProof/>
            <w:webHidden/>
          </w:rPr>
        </w:r>
        <w:r w:rsidR="00C92717">
          <w:rPr>
            <w:noProof/>
            <w:webHidden/>
          </w:rPr>
          <w:fldChar w:fldCharType="separate"/>
        </w:r>
        <w:r w:rsidR="009C04A0">
          <w:rPr>
            <w:noProof/>
            <w:webHidden/>
          </w:rPr>
          <w:t>7</w:t>
        </w:r>
        <w:r w:rsidR="00C92717">
          <w:rPr>
            <w:noProof/>
            <w:webHidden/>
          </w:rPr>
          <w:fldChar w:fldCharType="end"/>
        </w:r>
      </w:hyperlink>
    </w:p>
    <w:p w:rsidR="00C92717" w:rsidRDefault="00986060">
      <w:pPr>
        <w:pStyle w:val="TM2"/>
        <w:tabs>
          <w:tab w:val="left" w:pos="660"/>
          <w:tab w:val="right" w:leader="dot" w:pos="9062"/>
        </w:tabs>
        <w:rPr>
          <w:rFonts w:asciiTheme="minorHAnsi" w:eastAsiaTheme="minorEastAsia" w:hAnsiTheme="minorHAnsi" w:cstheme="minorBidi"/>
          <w:noProof/>
          <w:lang w:eastAsia="fr-FR"/>
        </w:rPr>
      </w:pPr>
      <w:hyperlink w:anchor="_Toc524602871" w:history="1">
        <w:r w:rsidR="00C92717" w:rsidRPr="00A63C4A">
          <w:rPr>
            <w:rStyle w:val="Lienhypertexte"/>
            <w:noProof/>
          </w:rPr>
          <w:t>1.</w:t>
        </w:r>
        <w:r w:rsidR="00C92717">
          <w:rPr>
            <w:rFonts w:asciiTheme="minorHAnsi" w:eastAsiaTheme="minorEastAsia" w:hAnsiTheme="minorHAnsi" w:cstheme="minorBidi"/>
            <w:noProof/>
            <w:lang w:eastAsia="fr-FR"/>
          </w:rPr>
          <w:tab/>
        </w:r>
        <w:r w:rsidR="00C92717" w:rsidRPr="00A63C4A">
          <w:rPr>
            <w:rStyle w:val="Lienhypertexte"/>
            <w:noProof/>
          </w:rPr>
          <w:t>Définition des objectifs et validation de la stratégie</w:t>
        </w:r>
        <w:r w:rsidR="00C92717">
          <w:rPr>
            <w:noProof/>
            <w:webHidden/>
          </w:rPr>
          <w:tab/>
        </w:r>
        <w:r w:rsidR="00C92717">
          <w:rPr>
            <w:noProof/>
            <w:webHidden/>
          </w:rPr>
          <w:fldChar w:fldCharType="begin"/>
        </w:r>
        <w:r w:rsidR="00C92717">
          <w:rPr>
            <w:noProof/>
            <w:webHidden/>
          </w:rPr>
          <w:instrText xml:space="preserve"> PAGEREF _Toc524602871 \h </w:instrText>
        </w:r>
        <w:r w:rsidR="00C92717">
          <w:rPr>
            <w:noProof/>
            <w:webHidden/>
          </w:rPr>
        </w:r>
        <w:r w:rsidR="00C92717">
          <w:rPr>
            <w:noProof/>
            <w:webHidden/>
          </w:rPr>
          <w:fldChar w:fldCharType="separate"/>
        </w:r>
        <w:r w:rsidR="009C04A0">
          <w:rPr>
            <w:noProof/>
            <w:webHidden/>
          </w:rPr>
          <w:t>7</w:t>
        </w:r>
        <w:r w:rsidR="00C92717">
          <w:rPr>
            <w:noProof/>
            <w:webHidden/>
          </w:rPr>
          <w:fldChar w:fldCharType="end"/>
        </w:r>
      </w:hyperlink>
    </w:p>
    <w:p w:rsidR="00C92717" w:rsidRDefault="00986060">
      <w:pPr>
        <w:pStyle w:val="TM2"/>
        <w:tabs>
          <w:tab w:val="left" w:pos="660"/>
          <w:tab w:val="right" w:leader="dot" w:pos="9062"/>
        </w:tabs>
        <w:rPr>
          <w:rFonts w:asciiTheme="minorHAnsi" w:eastAsiaTheme="minorEastAsia" w:hAnsiTheme="minorHAnsi" w:cstheme="minorBidi"/>
          <w:noProof/>
          <w:lang w:eastAsia="fr-FR"/>
        </w:rPr>
      </w:pPr>
      <w:hyperlink w:anchor="_Toc524602872" w:history="1">
        <w:r w:rsidR="00C92717" w:rsidRPr="00A63C4A">
          <w:rPr>
            <w:rStyle w:val="Lienhypertexte"/>
            <w:noProof/>
          </w:rPr>
          <w:t>2.</w:t>
        </w:r>
        <w:r w:rsidR="00C92717">
          <w:rPr>
            <w:rFonts w:asciiTheme="minorHAnsi" w:eastAsiaTheme="minorEastAsia" w:hAnsiTheme="minorHAnsi" w:cstheme="minorBidi"/>
            <w:noProof/>
            <w:lang w:eastAsia="fr-FR"/>
          </w:rPr>
          <w:tab/>
        </w:r>
        <w:r w:rsidR="00C92717" w:rsidRPr="00A63C4A">
          <w:rPr>
            <w:rStyle w:val="Lienhypertexte"/>
            <w:noProof/>
          </w:rPr>
          <w:t>Définition du périmètre : ciblage et choix des activités</w:t>
        </w:r>
        <w:r w:rsidR="00C92717">
          <w:rPr>
            <w:noProof/>
            <w:webHidden/>
          </w:rPr>
          <w:tab/>
        </w:r>
        <w:r w:rsidR="00C92717">
          <w:rPr>
            <w:noProof/>
            <w:webHidden/>
          </w:rPr>
          <w:fldChar w:fldCharType="begin"/>
        </w:r>
        <w:r w:rsidR="00C92717">
          <w:rPr>
            <w:noProof/>
            <w:webHidden/>
          </w:rPr>
          <w:instrText xml:space="preserve"> PAGEREF _Toc524602872 \h </w:instrText>
        </w:r>
        <w:r w:rsidR="00C92717">
          <w:rPr>
            <w:noProof/>
            <w:webHidden/>
          </w:rPr>
        </w:r>
        <w:r w:rsidR="00C92717">
          <w:rPr>
            <w:noProof/>
            <w:webHidden/>
          </w:rPr>
          <w:fldChar w:fldCharType="separate"/>
        </w:r>
        <w:r w:rsidR="009C04A0">
          <w:rPr>
            <w:noProof/>
            <w:webHidden/>
          </w:rPr>
          <w:t>8</w:t>
        </w:r>
        <w:r w:rsidR="00C92717">
          <w:rPr>
            <w:noProof/>
            <w:webHidden/>
          </w:rPr>
          <w:fldChar w:fldCharType="end"/>
        </w:r>
      </w:hyperlink>
    </w:p>
    <w:p w:rsidR="00C92717" w:rsidRDefault="00986060">
      <w:pPr>
        <w:pStyle w:val="TM2"/>
        <w:tabs>
          <w:tab w:val="left" w:pos="660"/>
          <w:tab w:val="right" w:leader="dot" w:pos="9062"/>
        </w:tabs>
        <w:rPr>
          <w:rFonts w:asciiTheme="minorHAnsi" w:eastAsiaTheme="minorEastAsia" w:hAnsiTheme="minorHAnsi" w:cstheme="minorBidi"/>
          <w:noProof/>
          <w:lang w:eastAsia="fr-FR"/>
        </w:rPr>
      </w:pPr>
      <w:hyperlink w:anchor="_Toc524602879" w:history="1">
        <w:r w:rsidR="00C92717" w:rsidRPr="00A63C4A">
          <w:rPr>
            <w:rStyle w:val="Lienhypertexte"/>
            <w:noProof/>
          </w:rPr>
          <w:t>3.</w:t>
        </w:r>
        <w:r w:rsidR="00C92717">
          <w:rPr>
            <w:rFonts w:asciiTheme="minorHAnsi" w:eastAsiaTheme="minorEastAsia" w:hAnsiTheme="minorHAnsi" w:cstheme="minorBidi"/>
            <w:noProof/>
            <w:lang w:eastAsia="fr-FR"/>
          </w:rPr>
          <w:tab/>
        </w:r>
        <w:r w:rsidR="00C92717" w:rsidRPr="00A63C4A">
          <w:rPr>
            <w:rStyle w:val="Lienhypertexte"/>
            <w:noProof/>
          </w:rPr>
          <w:t>Formalisation des ressources et moyens nécessaires</w:t>
        </w:r>
        <w:r w:rsidR="00C92717">
          <w:rPr>
            <w:noProof/>
            <w:webHidden/>
          </w:rPr>
          <w:tab/>
        </w:r>
        <w:r w:rsidR="00C92717">
          <w:rPr>
            <w:noProof/>
            <w:webHidden/>
          </w:rPr>
          <w:fldChar w:fldCharType="begin"/>
        </w:r>
        <w:r w:rsidR="00C92717">
          <w:rPr>
            <w:noProof/>
            <w:webHidden/>
          </w:rPr>
          <w:instrText xml:space="preserve"> PAGEREF _Toc524602879 \h </w:instrText>
        </w:r>
        <w:r w:rsidR="00C92717">
          <w:rPr>
            <w:noProof/>
            <w:webHidden/>
          </w:rPr>
        </w:r>
        <w:r w:rsidR="00C92717">
          <w:rPr>
            <w:noProof/>
            <w:webHidden/>
          </w:rPr>
          <w:fldChar w:fldCharType="separate"/>
        </w:r>
        <w:r w:rsidR="009C04A0">
          <w:rPr>
            <w:noProof/>
            <w:webHidden/>
          </w:rPr>
          <w:t>10</w:t>
        </w:r>
        <w:r w:rsidR="00C92717">
          <w:rPr>
            <w:noProof/>
            <w:webHidden/>
          </w:rPr>
          <w:fldChar w:fldCharType="end"/>
        </w:r>
      </w:hyperlink>
    </w:p>
    <w:p w:rsidR="00C92717" w:rsidRDefault="00986060">
      <w:pPr>
        <w:pStyle w:val="TM2"/>
        <w:tabs>
          <w:tab w:val="left" w:pos="660"/>
          <w:tab w:val="right" w:leader="dot" w:pos="9062"/>
        </w:tabs>
        <w:rPr>
          <w:rFonts w:asciiTheme="minorHAnsi" w:eastAsiaTheme="minorEastAsia" w:hAnsiTheme="minorHAnsi" w:cstheme="minorBidi"/>
          <w:noProof/>
          <w:lang w:eastAsia="fr-FR"/>
        </w:rPr>
      </w:pPr>
      <w:hyperlink w:anchor="_Toc524602880" w:history="1">
        <w:r w:rsidR="00C92717" w:rsidRPr="00A63C4A">
          <w:rPr>
            <w:rStyle w:val="Lienhypertexte"/>
            <w:noProof/>
          </w:rPr>
          <w:t>4.</w:t>
        </w:r>
        <w:r w:rsidR="00C92717">
          <w:rPr>
            <w:rFonts w:asciiTheme="minorHAnsi" w:eastAsiaTheme="minorEastAsia" w:hAnsiTheme="minorHAnsi" w:cstheme="minorBidi"/>
            <w:noProof/>
            <w:lang w:eastAsia="fr-FR"/>
          </w:rPr>
          <w:tab/>
        </w:r>
        <w:r w:rsidR="00C92717" w:rsidRPr="00A63C4A">
          <w:rPr>
            <w:rStyle w:val="Lienhypertexte"/>
            <w:noProof/>
          </w:rPr>
          <w:t>Outils disponibles : appréciation de leurs performances et de leur évolutivité</w:t>
        </w:r>
        <w:r w:rsidR="00C92717">
          <w:rPr>
            <w:noProof/>
            <w:webHidden/>
          </w:rPr>
          <w:tab/>
        </w:r>
        <w:r w:rsidR="00C92717">
          <w:rPr>
            <w:noProof/>
            <w:webHidden/>
          </w:rPr>
          <w:fldChar w:fldCharType="begin"/>
        </w:r>
        <w:r w:rsidR="00C92717">
          <w:rPr>
            <w:noProof/>
            <w:webHidden/>
          </w:rPr>
          <w:instrText xml:space="preserve"> PAGEREF _Toc524602880 \h </w:instrText>
        </w:r>
        <w:r w:rsidR="00C92717">
          <w:rPr>
            <w:noProof/>
            <w:webHidden/>
          </w:rPr>
        </w:r>
        <w:r w:rsidR="00C92717">
          <w:rPr>
            <w:noProof/>
            <w:webHidden/>
          </w:rPr>
          <w:fldChar w:fldCharType="separate"/>
        </w:r>
        <w:r w:rsidR="009C04A0">
          <w:rPr>
            <w:noProof/>
            <w:webHidden/>
          </w:rPr>
          <w:t>11</w:t>
        </w:r>
        <w:r w:rsidR="00C92717">
          <w:rPr>
            <w:noProof/>
            <w:webHidden/>
          </w:rPr>
          <w:fldChar w:fldCharType="end"/>
        </w:r>
      </w:hyperlink>
    </w:p>
    <w:p w:rsidR="00C92717" w:rsidRDefault="00986060">
      <w:pPr>
        <w:pStyle w:val="TM1"/>
        <w:tabs>
          <w:tab w:val="right" w:leader="dot" w:pos="9062"/>
        </w:tabs>
        <w:rPr>
          <w:rFonts w:asciiTheme="minorHAnsi" w:eastAsiaTheme="minorEastAsia" w:hAnsiTheme="minorHAnsi" w:cstheme="minorBidi"/>
          <w:noProof/>
          <w:lang w:eastAsia="fr-FR"/>
        </w:rPr>
      </w:pPr>
      <w:hyperlink w:anchor="_Toc524602881" w:history="1">
        <w:r w:rsidR="00C92717" w:rsidRPr="00A63C4A">
          <w:rPr>
            <w:rStyle w:val="Lienhypertexte"/>
            <w:noProof/>
          </w:rPr>
          <w:t>METTRE EN PLACE SA STRATEGIE DE PHARMACIE CLINIQUE</w:t>
        </w:r>
        <w:r w:rsidR="00C92717">
          <w:rPr>
            <w:noProof/>
            <w:webHidden/>
          </w:rPr>
          <w:tab/>
        </w:r>
        <w:r w:rsidR="00C92717">
          <w:rPr>
            <w:noProof/>
            <w:webHidden/>
          </w:rPr>
          <w:fldChar w:fldCharType="begin"/>
        </w:r>
        <w:r w:rsidR="00C92717">
          <w:rPr>
            <w:noProof/>
            <w:webHidden/>
          </w:rPr>
          <w:instrText xml:space="preserve"> PAGEREF _Toc524602881 \h </w:instrText>
        </w:r>
        <w:r w:rsidR="00C92717">
          <w:rPr>
            <w:noProof/>
            <w:webHidden/>
          </w:rPr>
        </w:r>
        <w:r w:rsidR="00C92717">
          <w:rPr>
            <w:noProof/>
            <w:webHidden/>
          </w:rPr>
          <w:fldChar w:fldCharType="separate"/>
        </w:r>
        <w:r w:rsidR="009C04A0">
          <w:rPr>
            <w:noProof/>
            <w:webHidden/>
          </w:rPr>
          <w:t>12</w:t>
        </w:r>
        <w:r w:rsidR="00C92717">
          <w:rPr>
            <w:noProof/>
            <w:webHidden/>
          </w:rPr>
          <w:fldChar w:fldCharType="end"/>
        </w:r>
      </w:hyperlink>
    </w:p>
    <w:p w:rsidR="00C92717" w:rsidRDefault="00986060">
      <w:pPr>
        <w:pStyle w:val="TM2"/>
        <w:tabs>
          <w:tab w:val="left" w:pos="660"/>
          <w:tab w:val="right" w:leader="dot" w:pos="9062"/>
        </w:tabs>
        <w:rPr>
          <w:rFonts w:asciiTheme="minorHAnsi" w:eastAsiaTheme="minorEastAsia" w:hAnsiTheme="minorHAnsi" w:cstheme="minorBidi"/>
          <w:noProof/>
          <w:lang w:eastAsia="fr-FR"/>
        </w:rPr>
      </w:pPr>
      <w:hyperlink w:anchor="_Toc524602882" w:history="1">
        <w:r w:rsidR="00C92717" w:rsidRPr="00A63C4A">
          <w:rPr>
            <w:rStyle w:val="Lienhypertexte"/>
            <w:noProof/>
          </w:rPr>
          <w:t>1.</w:t>
        </w:r>
        <w:r w:rsidR="00C92717">
          <w:rPr>
            <w:rFonts w:asciiTheme="minorHAnsi" w:eastAsiaTheme="minorEastAsia" w:hAnsiTheme="minorHAnsi" w:cstheme="minorBidi"/>
            <w:noProof/>
            <w:lang w:eastAsia="fr-FR"/>
          </w:rPr>
          <w:tab/>
        </w:r>
        <w:r w:rsidR="00C92717" w:rsidRPr="00A63C4A">
          <w:rPr>
            <w:rStyle w:val="Lienhypertexte"/>
            <w:noProof/>
          </w:rPr>
          <w:t>Définir sa/ses méthodes</w:t>
        </w:r>
        <w:r w:rsidR="00C92717">
          <w:rPr>
            <w:noProof/>
            <w:webHidden/>
          </w:rPr>
          <w:tab/>
        </w:r>
        <w:r w:rsidR="00C92717">
          <w:rPr>
            <w:noProof/>
            <w:webHidden/>
          </w:rPr>
          <w:fldChar w:fldCharType="begin"/>
        </w:r>
        <w:r w:rsidR="00C92717">
          <w:rPr>
            <w:noProof/>
            <w:webHidden/>
          </w:rPr>
          <w:instrText xml:space="preserve"> PAGEREF _Toc524602882 \h </w:instrText>
        </w:r>
        <w:r w:rsidR="00C92717">
          <w:rPr>
            <w:noProof/>
            <w:webHidden/>
          </w:rPr>
        </w:r>
        <w:r w:rsidR="00C92717">
          <w:rPr>
            <w:noProof/>
            <w:webHidden/>
          </w:rPr>
          <w:fldChar w:fldCharType="separate"/>
        </w:r>
        <w:r w:rsidR="009C04A0">
          <w:rPr>
            <w:noProof/>
            <w:webHidden/>
          </w:rPr>
          <w:t>12</w:t>
        </w:r>
        <w:r w:rsidR="00C92717">
          <w:rPr>
            <w:noProof/>
            <w:webHidden/>
          </w:rPr>
          <w:fldChar w:fldCharType="end"/>
        </w:r>
      </w:hyperlink>
    </w:p>
    <w:p w:rsidR="00C92717" w:rsidRDefault="00986060">
      <w:pPr>
        <w:pStyle w:val="TM2"/>
        <w:tabs>
          <w:tab w:val="right" w:leader="dot" w:pos="9062"/>
        </w:tabs>
        <w:rPr>
          <w:rFonts w:asciiTheme="minorHAnsi" w:eastAsiaTheme="minorEastAsia" w:hAnsiTheme="minorHAnsi" w:cstheme="minorBidi"/>
          <w:noProof/>
          <w:lang w:eastAsia="fr-FR"/>
        </w:rPr>
      </w:pPr>
      <w:hyperlink w:anchor="_Toc524602883" w:history="1">
        <w:r w:rsidR="00C92717" w:rsidRPr="00A63C4A">
          <w:rPr>
            <w:rStyle w:val="Lienhypertexte"/>
            <w:noProof/>
          </w:rPr>
          <w:t>Différentes organisation possibles :</w:t>
        </w:r>
        <w:r w:rsidR="00C92717">
          <w:rPr>
            <w:noProof/>
            <w:webHidden/>
          </w:rPr>
          <w:tab/>
        </w:r>
        <w:r w:rsidR="00C92717">
          <w:rPr>
            <w:noProof/>
            <w:webHidden/>
          </w:rPr>
          <w:fldChar w:fldCharType="begin"/>
        </w:r>
        <w:r w:rsidR="00C92717">
          <w:rPr>
            <w:noProof/>
            <w:webHidden/>
          </w:rPr>
          <w:instrText xml:space="preserve"> PAGEREF _Toc524602883 \h </w:instrText>
        </w:r>
        <w:r w:rsidR="00C92717">
          <w:rPr>
            <w:noProof/>
            <w:webHidden/>
          </w:rPr>
        </w:r>
        <w:r w:rsidR="00C92717">
          <w:rPr>
            <w:noProof/>
            <w:webHidden/>
          </w:rPr>
          <w:fldChar w:fldCharType="separate"/>
        </w:r>
        <w:r w:rsidR="009C04A0">
          <w:rPr>
            <w:noProof/>
            <w:webHidden/>
          </w:rPr>
          <w:t>12</w:t>
        </w:r>
        <w:r w:rsidR="00C92717">
          <w:rPr>
            <w:noProof/>
            <w:webHidden/>
          </w:rPr>
          <w:fldChar w:fldCharType="end"/>
        </w:r>
      </w:hyperlink>
    </w:p>
    <w:p w:rsidR="00C92717" w:rsidRDefault="00986060">
      <w:pPr>
        <w:pStyle w:val="TM2"/>
        <w:tabs>
          <w:tab w:val="right" w:leader="dot" w:pos="9062"/>
        </w:tabs>
        <w:rPr>
          <w:rFonts w:asciiTheme="minorHAnsi" w:eastAsiaTheme="minorEastAsia" w:hAnsiTheme="minorHAnsi" w:cstheme="minorBidi"/>
          <w:noProof/>
          <w:lang w:eastAsia="fr-FR"/>
        </w:rPr>
      </w:pPr>
      <w:hyperlink w:anchor="_Toc524602884" w:history="1">
        <w:r w:rsidR="00C92717" w:rsidRPr="00A63C4A">
          <w:rPr>
            <w:rStyle w:val="Lienhypertexte"/>
            <w:noProof/>
          </w:rPr>
          <w:t>Comment retrouver les patients ciblés ?</w:t>
        </w:r>
        <w:r w:rsidR="00C92717">
          <w:rPr>
            <w:noProof/>
            <w:webHidden/>
          </w:rPr>
          <w:tab/>
        </w:r>
        <w:r w:rsidR="00C92717">
          <w:rPr>
            <w:noProof/>
            <w:webHidden/>
          </w:rPr>
          <w:fldChar w:fldCharType="begin"/>
        </w:r>
        <w:r w:rsidR="00C92717">
          <w:rPr>
            <w:noProof/>
            <w:webHidden/>
          </w:rPr>
          <w:instrText xml:space="preserve"> PAGEREF _Toc524602884 \h </w:instrText>
        </w:r>
        <w:r w:rsidR="00C92717">
          <w:rPr>
            <w:noProof/>
            <w:webHidden/>
          </w:rPr>
        </w:r>
        <w:r w:rsidR="00C92717">
          <w:rPr>
            <w:noProof/>
            <w:webHidden/>
          </w:rPr>
          <w:fldChar w:fldCharType="separate"/>
        </w:r>
        <w:r w:rsidR="009C04A0">
          <w:rPr>
            <w:noProof/>
            <w:webHidden/>
          </w:rPr>
          <w:t>12</w:t>
        </w:r>
        <w:r w:rsidR="00C92717">
          <w:rPr>
            <w:noProof/>
            <w:webHidden/>
          </w:rPr>
          <w:fldChar w:fldCharType="end"/>
        </w:r>
      </w:hyperlink>
    </w:p>
    <w:p w:rsidR="00C92717" w:rsidRDefault="00986060">
      <w:pPr>
        <w:pStyle w:val="TM2"/>
        <w:tabs>
          <w:tab w:val="left" w:pos="660"/>
          <w:tab w:val="right" w:leader="dot" w:pos="9062"/>
        </w:tabs>
        <w:rPr>
          <w:rFonts w:asciiTheme="minorHAnsi" w:eastAsiaTheme="minorEastAsia" w:hAnsiTheme="minorHAnsi" w:cstheme="minorBidi"/>
          <w:noProof/>
          <w:lang w:eastAsia="fr-FR"/>
        </w:rPr>
      </w:pPr>
      <w:hyperlink w:anchor="_Toc524602885" w:history="1">
        <w:r w:rsidR="00C92717" w:rsidRPr="00A63C4A">
          <w:rPr>
            <w:rStyle w:val="Lienhypertexte"/>
            <w:noProof/>
          </w:rPr>
          <w:t>2.</w:t>
        </w:r>
        <w:r w:rsidR="00C92717">
          <w:rPr>
            <w:rFonts w:asciiTheme="minorHAnsi" w:eastAsiaTheme="minorEastAsia" w:hAnsiTheme="minorHAnsi" w:cstheme="minorBidi"/>
            <w:noProof/>
            <w:lang w:eastAsia="fr-FR"/>
          </w:rPr>
          <w:tab/>
        </w:r>
        <w:r w:rsidR="00C92717" w:rsidRPr="00A63C4A">
          <w:rPr>
            <w:rStyle w:val="Lienhypertexte"/>
            <w:noProof/>
          </w:rPr>
          <w:t>Paramétrer les outils</w:t>
        </w:r>
        <w:r w:rsidR="00C92717">
          <w:rPr>
            <w:noProof/>
            <w:webHidden/>
          </w:rPr>
          <w:tab/>
        </w:r>
        <w:r w:rsidR="00C92717">
          <w:rPr>
            <w:noProof/>
            <w:webHidden/>
          </w:rPr>
          <w:fldChar w:fldCharType="begin"/>
        </w:r>
        <w:r w:rsidR="00C92717">
          <w:rPr>
            <w:noProof/>
            <w:webHidden/>
          </w:rPr>
          <w:instrText xml:space="preserve"> PAGEREF _Toc524602885 \h </w:instrText>
        </w:r>
        <w:r w:rsidR="00C92717">
          <w:rPr>
            <w:noProof/>
            <w:webHidden/>
          </w:rPr>
        </w:r>
        <w:r w:rsidR="00C92717">
          <w:rPr>
            <w:noProof/>
            <w:webHidden/>
          </w:rPr>
          <w:fldChar w:fldCharType="separate"/>
        </w:r>
        <w:r w:rsidR="009C04A0">
          <w:rPr>
            <w:noProof/>
            <w:webHidden/>
          </w:rPr>
          <w:t>13</w:t>
        </w:r>
        <w:r w:rsidR="00C92717">
          <w:rPr>
            <w:noProof/>
            <w:webHidden/>
          </w:rPr>
          <w:fldChar w:fldCharType="end"/>
        </w:r>
      </w:hyperlink>
    </w:p>
    <w:p w:rsidR="00C92717" w:rsidRDefault="00986060">
      <w:pPr>
        <w:pStyle w:val="TM2"/>
        <w:tabs>
          <w:tab w:val="left" w:pos="660"/>
          <w:tab w:val="right" w:leader="dot" w:pos="9062"/>
        </w:tabs>
        <w:rPr>
          <w:rFonts w:asciiTheme="minorHAnsi" w:eastAsiaTheme="minorEastAsia" w:hAnsiTheme="minorHAnsi" w:cstheme="minorBidi"/>
          <w:noProof/>
          <w:lang w:eastAsia="fr-FR"/>
        </w:rPr>
      </w:pPr>
      <w:hyperlink w:anchor="_Toc524602886" w:history="1">
        <w:r w:rsidR="00C92717" w:rsidRPr="00A63C4A">
          <w:rPr>
            <w:rStyle w:val="Lienhypertexte"/>
            <w:noProof/>
          </w:rPr>
          <w:t>3.</w:t>
        </w:r>
        <w:r w:rsidR="00C92717">
          <w:rPr>
            <w:rFonts w:asciiTheme="minorHAnsi" w:eastAsiaTheme="minorEastAsia" w:hAnsiTheme="minorHAnsi" w:cstheme="minorBidi"/>
            <w:noProof/>
            <w:lang w:eastAsia="fr-FR"/>
          </w:rPr>
          <w:tab/>
        </w:r>
        <w:r w:rsidR="00C92717" w:rsidRPr="00A63C4A">
          <w:rPr>
            <w:rStyle w:val="Lienhypertexte"/>
            <w:noProof/>
          </w:rPr>
          <w:t>Former les équipes opérationnelles</w:t>
        </w:r>
        <w:r w:rsidR="00C92717">
          <w:rPr>
            <w:noProof/>
            <w:webHidden/>
          </w:rPr>
          <w:tab/>
        </w:r>
        <w:r w:rsidR="00C92717">
          <w:rPr>
            <w:noProof/>
            <w:webHidden/>
          </w:rPr>
          <w:fldChar w:fldCharType="begin"/>
        </w:r>
        <w:r w:rsidR="00C92717">
          <w:rPr>
            <w:noProof/>
            <w:webHidden/>
          </w:rPr>
          <w:instrText xml:space="preserve"> PAGEREF _Toc524602886 \h </w:instrText>
        </w:r>
        <w:r w:rsidR="00C92717">
          <w:rPr>
            <w:noProof/>
            <w:webHidden/>
          </w:rPr>
        </w:r>
        <w:r w:rsidR="00C92717">
          <w:rPr>
            <w:noProof/>
            <w:webHidden/>
          </w:rPr>
          <w:fldChar w:fldCharType="separate"/>
        </w:r>
        <w:r w:rsidR="009C04A0">
          <w:rPr>
            <w:noProof/>
            <w:webHidden/>
          </w:rPr>
          <w:t>14</w:t>
        </w:r>
        <w:r w:rsidR="00C92717">
          <w:rPr>
            <w:noProof/>
            <w:webHidden/>
          </w:rPr>
          <w:fldChar w:fldCharType="end"/>
        </w:r>
      </w:hyperlink>
    </w:p>
    <w:p w:rsidR="00C92717" w:rsidRDefault="00986060">
      <w:pPr>
        <w:pStyle w:val="TM2"/>
        <w:tabs>
          <w:tab w:val="left" w:pos="660"/>
          <w:tab w:val="right" w:leader="dot" w:pos="9062"/>
        </w:tabs>
        <w:rPr>
          <w:rFonts w:asciiTheme="minorHAnsi" w:eastAsiaTheme="minorEastAsia" w:hAnsiTheme="minorHAnsi" w:cstheme="minorBidi"/>
          <w:noProof/>
          <w:lang w:eastAsia="fr-FR"/>
        </w:rPr>
      </w:pPr>
      <w:hyperlink w:anchor="_Toc524602887" w:history="1">
        <w:r w:rsidR="00C92717" w:rsidRPr="00A63C4A">
          <w:rPr>
            <w:rStyle w:val="Lienhypertexte"/>
            <w:noProof/>
          </w:rPr>
          <w:t>4.</w:t>
        </w:r>
        <w:r w:rsidR="00C92717">
          <w:rPr>
            <w:rFonts w:asciiTheme="minorHAnsi" w:eastAsiaTheme="minorEastAsia" w:hAnsiTheme="minorHAnsi" w:cstheme="minorBidi"/>
            <w:noProof/>
            <w:lang w:eastAsia="fr-FR"/>
          </w:rPr>
          <w:tab/>
        </w:r>
        <w:r w:rsidR="00C92717" w:rsidRPr="00A63C4A">
          <w:rPr>
            <w:rStyle w:val="Lienhypertexte"/>
            <w:noProof/>
          </w:rPr>
          <w:t>Communiquer sur la stratégie</w:t>
        </w:r>
        <w:r w:rsidR="00C92717">
          <w:rPr>
            <w:noProof/>
            <w:webHidden/>
          </w:rPr>
          <w:tab/>
        </w:r>
        <w:r w:rsidR="00C92717">
          <w:rPr>
            <w:noProof/>
            <w:webHidden/>
          </w:rPr>
          <w:fldChar w:fldCharType="begin"/>
        </w:r>
        <w:r w:rsidR="00C92717">
          <w:rPr>
            <w:noProof/>
            <w:webHidden/>
          </w:rPr>
          <w:instrText xml:space="preserve"> PAGEREF _Toc524602887 \h </w:instrText>
        </w:r>
        <w:r w:rsidR="00C92717">
          <w:rPr>
            <w:noProof/>
            <w:webHidden/>
          </w:rPr>
        </w:r>
        <w:r w:rsidR="00C92717">
          <w:rPr>
            <w:noProof/>
            <w:webHidden/>
          </w:rPr>
          <w:fldChar w:fldCharType="separate"/>
        </w:r>
        <w:r w:rsidR="009C04A0">
          <w:rPr>
            <w:noProof/>
            <w:webHidden/>
          </w:rPr>
          <w:t>14</w:t>
        </w:r>
        <w:r w:rsidR="00C92717">
          <w:rPr>
            <w:noProof/>
            <w:webHidden/>
          </w:rPr>
          <w:fldChar w:fldCharType="end"/>
        </w:r>
      </w:hyperlink>
    </w:p>
    <w:p w:rsidR="00C92717" w:rsidRDefault="00986060">
      <w:pPr>
        <w:pStyle w:val="TM2"/>
        <w:tabs>
          <w:tab w:val="left" w:pos="660"/>
          <w:tab w:val="right" w:leader="dot" w:pos="9062"/>
        </w:tabs>
        <w:rPr>
          <w:rFonts w:asciiTheme="minorHAnsi" w:eastAsiaTheme="minorEastAsia" w:hAnsiTheme="minorHAnsi" w:cstheme="minorBidi"/>
          <w:noProof/>
          <w:lang w:eastAsia="fr-FR"/>
        </w:rPr>
      </w:pPr>
      <w:hyperlink w:anchor="_Toc524602888" w:history="1">
        <w:r w:rsidR="00C92717" w:rsidRPr="00A63C4A">
          <w:rPr>
            <w:rStyle w:val="Lienhypertexte"/>
            <w:noProof/>
          </w:rPr>
          <w:t>5.</w:t>
        </w:r>
        <w:r w:rsidR="00C92717">
          <w:rPr>
            <w:rFonts w:asciiTheme="minorHAnsi" w:eastAsiaTheme="minorEastAsia" w:hAnsiTheme="minorHAnsi" w:cstheme="minorBidi"/>
            <w:noProof/>
            <w:lang w:eastAsia="fr-FR"/>
          </w:rPr>
          <w:tab/>
        </w:r>
        <w:r w:rsidR="00C92717" w:rsidRPr="00A63C4A">
          <w:rPr>
            <w:rStyle w:val="Lienhypertexte"/>
            <w:noProof/>
          </w:rPr>
          <w:t>Etablir un planning de déploiement</w:t>
        </w:r>
        <w:r w:rsidR="00C92717">
          <w:rPr>
            <w:noProof/>
            <w:webHidden/>
          </w:rPr>
          <w:tab/>
        </w:r>
        <w:r w:rsidR="00C92717">
          <w:rPr>
            <w:noProof/>
            <w:webHidden/>
          </w:rPr>
          <w:fldChar w:fldCharType="begin"/>
        </w:r>
        <w:r w:rsidR="00C92717">
          <w:rPr>
            <w:noProof/>
            <w:webHidden/>
          </w:rPr>
          <w:instrText xml:space="preserve"> PAGEREF _Toc524602888 \h </w:instrText>
        </w:r>
        <w:r w:rsidR="00C92717">
          <w:rPr>
            <w:noProof/>
            <w:webHidden/>
          </w:rPr>
        </w:r>
        <w:r w:rsidR="00C92717">
          <w:rPr>
            <w:noProof/>
            <w:webHidden/>
          </w:rPr>
          <w:fldChar w:fldCharType="separate"/>
        </w:r>
        <w:r w:rsidR="009C04A0">
          <w:rPr>
            <w:noProof/>
            <w:webHidden/>
          </w:rPr>
          <w:t>15</w:t>
        </w:r>
        <w:r w:rsidR="00C92717">
          <w:rPr>
            <w:noProof/>
            <w:webHidden/>
          </w:rPr>
          <w:fldChar w:fldCharType="end"/>
        </w:r>
      </w:hyperlink>
    </w:p>
    <w:p w:rsidR="00C92717" w:rsidRDefault="00986060">
      <w:pPr>
        <w:pStyle w:val="TM1"/>
        <w:tabs>
          <w:tab w:val="right" w:leader="dot" w:pos="9062"/>
        </w:tabs>
        <w:rPr>
          <w:rFonts w:asciiTheme="minorHAnsi" w:eastAsiaTheme="minorEastAsia" w:hAnsiTheme="minorHAnsi" w:cstheme="minorBidi"/>
          <w:noProof/>
          <w:lang w:eastAsia="fr-FR"/>
        </w:rPr>
      </w:pPr>
      <w:hyperlink w:anchor="_Toc524602889" w:history="1">
        <w:r w:rsidR="00C92717" w:rsidRPr="00A63C4A">
          <w:rPr>
            <w:rStyle w:val="Lienhypertexte"/>
            <w:noProof/>
          </w:rPr>
          <w:t>EVALUER SA STRATEGIE DE PHARMACIE CLINIQUE</w:t>
        </w:r>
        <w:r w:rsidR="00C92717">
          <w:rPr>
            <w:noProof/>
            <w:webHidden/>
          </w:rPr>
          <w:tab/>
        </w:r>
        <w:r w:rsidR="00C92717">
          <w:rPr>
            <w:noProof/>
            <w:webHidden/>
          </w:rPr>
          <w:fldChar w:fldCharType="begin"/>
        </w:r>
        <w:r w:rsidR="00C92717">
          <w:rPr>
            <w:noProof/>
            <w:webHidden/>
          </w:rPr>
          <w:instrText xml:space="preserve"> PAGEREF _Toc524602889 \h </w:instrText>
        </w:r>
        <w:r w:rsidR="00C92717">
          <w:rPr>
            <w:noProof/>
            <w:webHidden/>
          </w:rPr>
        </w:r>
        <w:r w:rsidR="00C92717">
          <w:rPr>
            <w:noProof/>
            <w:webHidden/>
          </w:rPr>
          <w:fldChar w:fldCharType="separate"/>
        </w:r>
        <w:r w:rsidR="009C04A0">
          <w:rPr>
            <w:noProof/>
            <w:webHidden/>
          </w:rPr>
          <w:t>16</w:t>
        </w:r>
        <w:r w:rsidR="00C92717">
          <w:rPr>
            <w:noProof/>
            <w:webHidden/>
          </w:rPr>
          <w:fldChar w:fldCharType="end"/>
        </w:r>
      </w:hyperlink>
    </w:p>
    <w:p w:rsidR="00C92717" w:rsidRDefault="00986060">
      <w:pPr>
        <w:pStyle w:val="TM2"/>
        <w:tabs>
          <w:tab w:val="left" w:pos="660"/>
          <w:tab w:val="right" w:leader="dot" w:pos="9062"/>
        </w:tabs>
        <w:rPr>
          <w:rFonts w:asciiTheme="minorHAnsi" w:eastAsiaTheme="minorEastAsia" w:hAnsiTheme="minorHAnsi" w:cstheme="minorBidi"/>
          <w:noProof/>
          <w:lang w:eastAsia="fr-FR"/>
        </w:rPr>
      </w:pPr>
      <w:hyperlink w:anchor="_Toc524602890" w:history="1">
        <w:r w:rsidR="00C92717" w:rsidRPr="00A63C4A">
          <w:rPr>
            <w:rStyle w:val="Lienhypertexte"/>
            <w:noProof/>
          </w:rPr>
          <w:t>1.</w:t>
        </w:r>
        <w:r w:rsidR="00C92717">
          <w:rPr>
            <w:rFonts w:asciiTheme="minorHAnsi" w:eastAsiaTheme="minorEastAsia" w:hAnsiTheme="minorHAnsi" w:cstheme="minorBidi"/>
            <w:noProof/>
            <w:lang w:eastAsia="fr-FR"/>
          </w:rPr>
          <w:tab/>
        </w:r>
        <w:r w:rsidR="00C92717" w:rsidRPr="00A63C4A">
          <w:rPr>
            <w:rStyle w:val="Lienhypertexte"/>
            <w:noProof/>
          </w:rPr>
          <w:t>Indicateurs CAQES</w:t>
        </w:r>
        <w:r w:rsidR="00C92717">
          <w:rPr>
            <w:noProof/>
            <w:webHidden/>
          </w:rPr>
          <w:tab/>
        </w:r>
        <w:r w:rsidR="00C92717">
          <w:rPr>
            <w:noProof/>
            <w:webHidden/>
          </w:rPr>
          <w:fldChar w:fldCharType="begin"/>
        </w:r>
        <w:r w:rsidR="00C92717">
          <w:rPr>
            <w:noProof/>
            <w:webHidden/>
          </w:rPr>
          <w:instrText xml:space="preserve"> PAGEREF _Toc524602890 \h </w:instrText>
        </w:r>
        <w:r w:rsidR="00C92717">
          <w:rPr>
            <w:noProof/>
            <w:webHidden/>
          </w:rPr>
        </w:r>
        <w:r w:rsidR="00C92717">
          <w:rPr>
            <w:noProof/>
            <w:webHidden/>
          </w:rPr>
          <w:fldChar w:fldCharType="separate"/>
        </w:r>
        <w:r w:rsidR="009C04A0">
          <w:rPr>
            <w:noProof/>
            <w:webHidden/>
          </w:rPr>
          <w:t>16</w:t>
        </w:r>
        <w:r w:rsidR="00C92717">
          <w:rPr>
            <w:noProof/>
            <w:webHidden/>
          </w:rPr>
          <w:fldChar w:fldCharType="end"/>
        </w:r>
      </w:hyperlink>
    </w:p>
    <w:p w:rsidR="00C92717" w:rsidRDefault="00986060">
      <w:pPr>
        <w:pStyle w:val="TM2"/>
        <w:tabs>
          <w:tab w:val="left" w:pos="660"/>
          <w:tab w:val="right" w:leader="dot" w:pos="9062"/>
        </w:tabs>
        <w:rPr>
          <w:rFonts w:asciiTheme="minorHAnsi" w:eastAsiaTheme="minorEastAsia" w:hAnsiTheme="minorHAnsi" w:cstheme="minorBidi"/>
          <w:noProof/>
          <w:lang w:eastAsia="fr-FR"/>
        </w:rPr>
      </w:pPr>
      <w:hyperlink w:anchor="_Toc524602891" w:history="1">
        <w:r w:rsidR="00C92717" w:rsidRPr="00A63C4A">
          <w:rPr>
            <w:rStyle w:val="Lienhypertexte"/>
            <w:noProof/>
          </w:rPr>
          <w:t>2.</w:t>
        </w:r>
        <w:r w:rsidR="00C92717">
          <w:rPr>
            <w:rFonts w:asciiTheme="minorHAnsi" w:eastAsiaTheme="minorEastAsia" w:hAnsiTheme="minorHAnsi" w:cstheme="minorBidi"/>
            <w:noProof/>
            <w:lang w:eastAsia="fr-FR"/>
          </w:rPr>
          <w:tab/>
        </w:r>
        <w:r w:rsidR="00C92717" w:rsidRPr="00A63C4A">
          <w:rPr>
            <w:rStyle w:val="Lienhypertexte"/>
            <w:noProof/>
          </w:rPr>
          <w:t>Indicateurs internes</w:t>
        </w:r>
        <w:r w:rsidR="00C92717">
          <w:rPr>
            <w:noProof/>
            <w:webHidden/>
          </w:rPr>
          <w:tab/>
        </w:r>
        <w:r w:rsidR="00C92717">
          <w:rPr>
            <w:noProof/>
            <w:webHidden/>
          </w:rPr>
          <w:fldChar w:fldCharType="begin"/>
        </w:r>
        <w:r w:rsidR="00C92717">
          <w:rPr>
            <w:noProof/>
            <w:webHidden/>
          </w:rPr>
          <w:instrText xml:space="preserve"> PAGEREF _Toc524602891 \h </w:instrText>
        </w:r>
        <w:r w:rsidR="00C92717">
          <w:rPr>
            <w:noProof/>
            <w:webHidden/>
          </w:rPr>
        </w:r>
        <w:r w:rsidR="00C92717">
          <w:rPr>
            <w:noProof/>
            <w:webHidden/>
          </w:rPr>
          <w:fldChar w:fldCharType="separate"/>
        </w:r>
        <w:r w:rsidR="009C04A0">
          <w:rPr>
            <w:noProof/>
            <w:webHidden/>
          </w:rPr>
          <w:t>16</w:t>
        </w:r>
        <w:r w:rsidR="00C92717">
          <w:rPr>
            <w:noProof/>
            <w:webHidden/>
          </w:rPr>
          <w:fldChar w:fldCharType="end"/>
        </w:r>
      </w:hyperlink>
    </w:p>
    <w:p w:rsidR="00C92717" w:rsidRDefault="00986060">
      <w:pPr>
        <w:pStyle w:val="TM2"/>
        <w:tabs>
          <w:tab w:val="left" w:pos="660"/>
          <w:tab w:val="right" w:leader="dot" w:pos="9062"/>
        </w:tabs>
        <w:rPr>
          <w:rFonts w:asciiTheme="minorHAnsi" w:eastAsiaTheme="minorEastAsia" w:hAnsiTheme="minorHAnsi" w:cstheme="minorBidi"/>
          <w:noProof/>
          <w:lang w:eastAsia="fr-FR"/>
        </w:rPr>
      </w:pPr>
      <w:hyperlink w:anchor="_Toc524602892" w:history="1">
        <w:r w:rsidR="00C92717" w:rsidRPr="00A63C4A">
          <w:rPr>
            <w:rStyle w:val="Lienhypertexte"/>
            <w:noProof/>
          </w:rPr>
          <w:t>3.</w:t>
        </w:r>
        <w:r w:rsidR="00C92717">
          <w:rPr>
            <w:rFonts w:asciiTheme="minorHAnsi" w:eastAsiaTheme="minorEastAsia" w:hAnsiTheme="minorHAnsi" w:cstheme="minorBidi"/>
            <w:noProof/>
            <w:lang w:eastAsia="fr-FR"/>
          </w:rPr>
          <w:tab/>
        </w:r>
        <w:r w:rsidR="00C92717" w:rsidRPr="00A63C4A">
          <w:rPr>
            <w:rStyle w:val="Lienhypertexte"/>
            <w:noProof/>
          </w:rPr>
          <w:t>Réévaluation de la stratégie</w:t>
        </w:r>
        <w:r w:rsidR="00C92717">
          <w:rPr>
            <w:noProof/>
            <w:webHidden/>
          </w:rPr>
          <w:tab/>
        </w:r>
        <w:r w:rsidR="00C92717">
          <w:rPr>
            <w:noProof/>
            <w:webHidden/>
          </w:rPr>
          <w:fldChar w:fldCharType="begin"/>
        </w:r>
        <w:r w:rsidR="00C92717">
          <w:rPr>
            <w:noProof/>
            <w:webHidden/>
          </w:rPr>
          <w:instrText xml:space="preserve"> PAGEREF _Toc524602892 \h </w:instrText>
        </w:r>
        <w:r w:rsidR="00C92717">
          <w:rPr>
            <w:noProof/>
            <w:webHidden/>
          </w:rPr>
        </w:r>
        <w:r w:rsidR="00C92717">
          <w:rPr>
            <w:noProof/>
            <w:webHidden/>
          </w:rPr>
          <w:fldChar w:fldCharType="separate"/>
        </w:r>
        <w:r w:rsidR="009C04A0">
          <w:rPr>
            <w:noProof/>
            <w:webHidden/>
          </w:rPr>
          <w:t>17</w:t>
        </w:r>
        <w:r w:rsidR="00C92717">
          <w:rPr>
            <w:noProof/>
            <w:webHidden/>
          </w:rPr>
          <w:fldChar w:fldCharType="end"/>
        </w:r>
      </w:hyperlink>
    </w:p>
    <w:p w:rsidR="00C92717" w:rsidRDefault="00986060">
      <w:pPr>
        <w:pStyle w:val="TM1"/>
        <w:tabs>
          <w:tab w:val="right" w:leader="dot" w:pos="9062"/>
        </w:tabs>
        <w:rPr>
          <w:rFonts w:asciiTheme="minorHAnsi" w:eastAsiaTheme="minorEastAsia" w:hAnsiTheme="minorHAnsi" w:cstheme="minorBidi"/>
          <w:noProof/>
          <w:lang w:eastAsia="fr-FR"/>
        </w:rPr>
      </w:pPr>
      <w:hyperlink w:anchor="_Toc524602893" w:history="1">
        <w:r w:rsidR="00C92717" w:rsidRPr="00A63C4A">
          <w:rPr>
            <w:rStyle w:val="Lienhypertexte"/>
            <w:noProof/>
          </w:rPr>
          <w:t>VALORISER SA STRATEGIE DE PHARMACIE CLINIQUE</w:t>
        </w:r>
        <w:r w:rsidR="00C92717">
          <w:rPr>
            <w:noProof/>
            <w:webHidden/>
          </w:rPr>
          <w:tab/>
        </w:r>
        <w:r w:rsidR="00C92717">
          <w:rPr>
            <w:noProof/>
            <w:webHidden/>
          </w:rPr>
          <w:fldChar w:fldCharType="begin"/>
        </w:r>
        <w:r w:rsidR="00C92717">
          <w:rPr>
            <w:noProof/>
            <w:webHidden/>
          </w:rPr>
          <w:instrText xml:space="preserve"> PAGEREF _Toc524602893 \h </w:instrText>
        </w:r>
        <w:r w:rsidR="00C92717">
          <w:rPr>
            <w:noProof/>
            <w:webHidden/>
          </w:rPr>
        </w:r>
        <w:r w:rsidR="00C92717">
          <w:rPr>
            <w:noProof/>
            <w:webHidden/>
          </w:rPr>
          <w:fldChar w:fldCharType="separate"/>
        </w:r>
        <w:r w:rsidR="009C04A0">
          <w:rPr>
            <w:noProof/>
            <w:webHidden/>
          </w:rPr>
          <w:t>18</w:t>
        </w:r>
        <w:r w:rsidR="00C92717">
          <w:rPr>
            <w:noProof/>
            <w:webHidden/>
          </w:rPr>
          <w:fldChar w:fldCharType="end"/>
        </w:r>
      </w:hyperlink>
    </w:p>
    <w:p w:rsidR="00C92717" w:rsidRDefault="00986060">
      <w:pPr>
        <w:pStyle w:val="TM2"/>
        <w:tabs>
          <w:tab w:val="right" w:leader="dot" w:pos="9062"/>
        </w:tabs>
        <w:rPr>
          <w:rFonts w:asciiTheme="minorHAnsi" w:eastAsiaTheme="minorEastAsia" w:hAnsiTheme="minorHAnsi" w:cstheme="minorBidi"/>
          <w:noProof/>
          <w:lang w:eastAsia="fr-FR"/>
        </w:rPr>
      </w:pPr>
      <w:hyperlink w:anchor="_Toc524602894" w:history="1">
        <w:r w:rsidR="00C92717" w:rsidRPr="00A63C4A">
          <w:rPr>
            <w:rStyle w:val="Lienhypertexte"/>
            <w:noProof/>
          </w:rPr>
          <w:t>Communication interne</w:t>
        </w:r>
        <w:r w:rsidR="00C92717">
          <w:rPr>
            <w:noProof/>
            <w:webHidden/>
          </w:rPr>
          <w:tab/>
        </w:r>
        <w:r w:rsidR="00C92717">
          <w:rPr>
            <w:noProof/>
            <w:webHidden/>
          </w:rPr>
          <w:fldChar w:fldCharType="begin"/>
        </w:r>
        <w:r w:rsidR="00C92717">
          <w:rPr>
            <w:noProof/>
            <w:webHidden/>
          </w:rPr>
          <w:instrText xml:space="preserve"> PAGEREF _Toc524602894 \h </w:instrText>
        </w:r>
        <w:r w:rsidR="00C92717">
          <w:rPr>
            <w:noProof/>
            <w:webHidden/>
          </w:rPr>
        </w:r>
        <w:r w:rsidR="00C92717">
          <w:rPr>
            <w:noProof/>
            <w:webHidden/>
          </w:rPr>
          <w:fldChar w:fldCharType="separate"/>
        </w:r>
        <w:r w:rsidR="009C04A0">
          <w:rPr>
            <w:noProof/>
            <w:webHidden/>
          </w:rPr>
          <w:t>18</w:t>
        </w:r>
        <w:r w:rsidR="00C92717">
          <w:rPr>
            <w:noProof/>
            <w:webHidden/>
          </w:rPr>
          <w:fldChar w:fldCharType="end"/>
        </w:r>
      </w:hyperlink>
    </w:p>
    <w:p w:rsidR="00C92717" w:rsidRDefault="00986060">
      <w:pPr>
        <w:pStyle w:val="TM2"/>
        <w:tabs>
          <w:tab w:val="right" w:leader="dot" w:pos="9062"/>
        </w:tabs>
        <w:rPr>
          <w:rFonts w:asciiTheme="minorHAnsi" w:eastAsiaTheme="minorEastAsia" w:hAnsiTheme="minorHAnsi" w:cstheme="minorBidi"/>
          <w:noProof/>
          <w:lang w:eastAsia="fr-FR"/>
        </w:rPr>
      </w:pPr>
      <w:hyperlink w:anchor="_Toc524602895" w:history="1">
        <w:r w:rsidR="00C92717" w:rsidRPr="00A63C4A">
          <w:rPr>
            <w:rStyle w:val="Lienhypertexte"/>
            <w:noProof/>
          </w:rPr>
          <w:t>Communication externe</w:t>
        </w:r>
        <w:r w:rsidR="00C92717">
          <w:rPr>
            <w:noProof/>
            <w:webHidden/>
          </w:rPr>
          <w:tab/>
        </w:r>
        <w:r w:rsidR="00C92717">
          <w:rPr>
            <w:noProof/>
            <w:webHidden/>
          </w:rPr>
          <w:fldChar w:fldCharType="begin"/>
        </w:r>
        <w:r w:rsidR="00C92717">
          <w:rPr>
            <w:noProof/>
            <w:webHidden/>
          </w:rPr>
          <w:instrText xml:space="preserve"> PAGEREF _Toc524602895 \h </w:instrText>
        </w:r>
        <w:r w:rsidR="00C92717">
          <w:rPr>
            <w:noProof/>
            <w:webHidden/>
          </w:rPr>
        </w:r>
        <w:r w:rsidR="00C92717">
          <w:rPr>
            <w:noProof/>
            <w:webHidden/>
          </w:rPr>
          <w:fldChar w:fldCharType="separate"/>
        </w:r>
        <w:r w:rsidR="009C04A0">
          <w:rPr>
            <w:noProof/>
            <w:webHidden/>
          </w:rPr>
          <w:t>18</w:t>
        </w:r>
        <w:r w:rsidR="00C92717">
          <w:rPr>
            <w:noProof/>
            <w:webHidden/>
          </w:rPr>
          <w:fldChar w:fldCharType="end"/>
        </w:r>
      </w:hyperlink>
    </w:p>
    <w:p w:rsidR="00C92717" w:rsidRDefault="00986060">
      <w:pPr>
        <w:pStyle w:val="TM1"/>
        <w:tabs>
          <w:tab w:val="right" w:leader="dot" w:pos="9062"/>
        </w:tabs>
        <w:rPr>
          <w:rFonts w:asciiTheme="minorHAnsi" w:eastAsiaTheme="minorEastAsia" w:hAnsiTheme="minorHAnsi" w:cstheme="minorBidi"/>
          <w:noProof/>
          <w:lang w:eastAsia="fr-FR"/>
        </w:rPr>
      </w:pPr>
      <w:hyperlink w:anchor="_Toc524602896" w:history="1">
        <w:r w:rsidR="00C92717" w:rsidRPr="00A63C4A">
          <w:rPr>
            <w:rStyle w:val="Lienhypertexte"/>
            <w:noProof/>
          </w:rPr>
          <w:t>REMERCIEMENTS</w:t>
        </w:r>
        <w:r w:rsidR="00C92717">
          <w:rPr>
            <w:noProof/>
            <w:webHidden/>
          </w:rPr>
          <w:tab/>
        </w:r>
        <w:r w:rsidR="00C92717">
          <w:rPr>
            <w:noProof/>
            <w:webHidden/>
          </w:rPr>
          <w:fldChar w:fldCharType="begin"/>
        </w:r>
        <w:r w:rsidR="00C92717">
          <w:rPr>
            <w:noProof/>
            <w:webHidden/>
          </w:rPr>
          <w:instrText xml:space="preserve"> PAGEREF _Toc524602896 \h </w:instrText>
        </w:r>
        <w:r w:rsidR="00C92717">
          <w:rPr>
            <w:noProof/>
            <w:webHidden/>
          </w:rPr>
        </w:r>
        <w:r w:rsidR="00C92717">
          <w:rPr>
            <w:noProof/>
            <w:webHidden/>
          </w:rPr>
          <w:fldChar w:fldCharType="separate"/>
        </w:r>
        <w:r w:rsidR="009C04A0">
          <w:rPr>
            <w:noProof/>
            <w:webHidden/>
          </w:rPr>
          <w:t>19</w:t>
        </w:r>
        <w:r w:rsidR="00C92717">
          <w:rPr>
            <w:noProof/>
            <w:webHidden/>
          </w:rPr>
          <w:fldChar w:fldCharType="end"/>
        </w:r>
      </w:hyperlink>
    </w:p>
    <w:p w:rsidR="00127E8A" w:rsidRDefault="00917A50">
      <w:pPr>
        <w:spacing w:after="0" w:line="240" w:lineRule="auto"/>
        <w:rPr>
          <w:b/>
          <w:color w:val="034EA2"/>
          <w:sz w:val="32"/>
        </w:rPr>
      </w:pPr>
      <w:r>
        <w:rPr>
          <w:b/>
          <w:color w:val="034EA2"/>
          <w:sz w:val="32"/>
        </w:rPr>
        <w:lastRenderedPageBreak/>
        <w:fldChar w:fldCharType="end"/>
      </w:r>
    </w:p>
    <w:p w:rsidR="00CE35D3" w:rsidRPr="00C60262" w:rsidRDefault="001D2D36" w:rsidP="00917A50">
      <w:pPr>
        <w:pStyle w:val="Style1"/>
      </w:pPr>
      <w:bookmarkStart w:id="0" w:name="_Toc524602860"/>
      <w:r>
        <w:t>CONTEXTE</w:t>
      </w:r>
      <w:bookmarkEnd w:id="0"/>
    </w:p>
    <w:p w:rsidR="00CE35D3" w:rsidRDefault="00CE35D3" w:rsidP="00CE35D3">
      <w:pPr>
        <w:spacing w:after="0"/>
        <w:jc w:val="center"/>
        <w:rPr>
          <w:b/>
        </w:rPr>
      </w:pPr>
    </w:p>
    <w:p w:rsidR="00596547" w:rsidRPr="00DE0304" w:rsidRDefault="00596547" w:rsidP="009412E3">
      <w:pPr>
        <w:pStyle w:val="Style2"/>
      </w:pPr>
      <w:bookmarkStart w:id="1" w:name="_Toc524602861"/>
      <w:r w:rsidRPr="00DE0304">
        <w:t xml:space="preserve">Définition </w:t>
      </w:r>
      <w:r w:rsidR="00DE0304" w:rsidRPr="00DE0304">
        <w:t xml:space="preserve">de la </w:t>
      </w:r>
      <w:r w:rsidRPr="00DE0304">
        <w:t>pharmacie clinique </w:t>
      </w:r>
      <w:r w:rsidR="00DE0304">
        <w:t>selon la Société Française de Pharmacie Clinique</w:t>
      </w:r>
      <w:bookmarkEnd w:id="1"/>
    </w:p>
    <w:p w:rsidR="00DE0304" w:rsidRDefault="00DE0304" w:rsidP="00DE0304">
      <w:r>
        <w:t>« La pharmacie clinique est une discipline de santé centrée sur le patient dont l’exercice a pour objectif d’optimiser la prise en charge thérapeutique, à chaque étape du parcours de soins.</w:t>
      </w:r>
    </w:p>
    <w:p w:rsidR="00DE0304" w:rsidRDefault="00DE0304" w:rsidP="00DE0304">
      <w:r>
        <w:t>Pour cela, les actes de pharmacie clinique contribuent à la sécurisation, la pertinence et à l’efficience du recours aux produits de santé.</w:t>
      </w:r>
    </w:p>
    <w:p w:rsidR="00DE0304" w:rsidRDefault="00DE0304" w:rsidP="00DE0304">
      <w:r>
        <w:t>Le pharmacien exerce en collaboration avec les autres professionnels impliqués, le patient et ses aidants. » SFPC, 2016.</w:t>
      </w:r>
    </w:p>
    <w:p w:rsidR="00DE0304" w:rsidRPr="009412E3" w:rsidRDefault="00DE0304" w:rsidP="009412E3">
      <w:pPr>
        <w:pStyle w:val="Style2"/>
      </w:pPr>
      <w:bookmarkStart w:id="2" w:name="_Toc524602862"/>
      <w:r w:rsidRPr="009412E3">
        <w:t xml:space="preserve">Bases législatives et réglementaires </w:t>
      </w:r>
      <w:r w:rsidR="00B31D1E">
        <w:t xml:space="preserve">relatives </w:t>
      </w:r>
      <w:r w:rsidRPr="009412E3">
        <w:t>au déploiement de la pharmacie clinique</w:t>
      </w:r>
      <w:bookmarkEnd w:id="2"/>
      <w:r w:rsidRPr="009412E3">
        <w:t xml:space="preserve"> </w:t>
      </w:r>
    </w:p>
    <w:p w:rsidR="00DE0304" w:rsidRDefault="00DE0304" w:rsidP="000F5B9F">
      <w:pPr>
        <w:pStyle w:val="Paragraphedeliste"/>
        <w:numPr>
          <w:ilvl w:val="0"/>
          <w:numId w:val="13"/>
        </w:numPr>
      </w:pPr>
      <w:r>
        <w:t>Décret n°2012-1408 du 12 novembre 2010 relatif à la lutte contre les événements indésirables associés aux soins,</w:t>
      </w:r>
    </w:p>
    <w:p w:rsidR="00DE0304" w:rsidRDefault="00DE0304" w:rsidP="000F5B9F">
      <w:pPr>
        <w:pStyle w:val="Paragraphedeliste"/>
        <w:numPr>
          <w:ilvl w:val="0"/>
          <w:numId w:val="13"/>
        </w:numPr>
      </w:pPr>
      <w:r>
        <w:t>Arrêté du 6 avril 2011 relatif au management de la qualité de la prise en charge médicamenteuse,</w:t>
      </w:r>
    </w:p>
    <w:p w:rsidR="00DE0304" w:rsidRDefault="00DE0304" w:rsidP="000F5B9F">
      <w:pPr>
        <w:pStyle w:val="Paragraphedeliste"/>
        <w:numPr>
          <w:ilvl w:val="0"/>
          <w:numId w:val="13"/>
        </w:numPr>
      </w:pPr>
      <w:r>
        <w:t xml:space="preserve">Certification des établissements de santé par la </w:t>
      </w:r>
      <w:r w:rsidR="002639D4">
        <w:t>Haute Autorité de Santé (</w:t>
      </w:r>
      <w:r>
        <w:t>HAS</w:t>
      </w:r>
      <w:r w:rsidR="002639D4">
        <w:t>)</w:t>
      </w:r>
      <w:r>
        <w:t xml:space="preserve"> </w:t>
      </w:r>
    </w:p>
    <w:p w:rsidR="00DE0304" w:rsidRDefault="00DE0304" w:rsidP="000F5B9F">
      <w:pPr>
        <w:pStyle w:val="Paragraphedeliste"/>
        <w:numPr>
          <w:ilvl w:val="0"/>
          <w:numId w:val="13"/>
        </w:numPr>
      </w:pPr>
      <w:r>
        <w:t xml:space="preserve">Mise en place du Contrat d’Amélioration de l’Efficience et de la Qualité des Soins (CAQES) entré en vigueur au 1er </w:t>
      </w:r>
      <w:r w:rsidR="00986060">
        <w:t>j</w:t>
      </w:r>
      <w:r>
        <w:t>anvier 2018</w:t>
      </w:r>
      <w:r w:rsidR="00086F85">
        <w:t>.</w:t>
      </w:r>
    </w:p>
    <w:p w:rsidR="00DE0304" w:rsidRPr="000F5B9F" w:rsidRDefault="00DE0304" w:rsidP="00DE0304">
      <w:pPr>
        <w:rPr>
          <w:b/>
        </w:rPr>
      </w:pPr>
      <w:r w:rsidRPr="000F5B9F">
        <w:rPr>
          <w:b/>
        </w:rPr>
        <w:t xml:space="preserve">Le déploiement de la pharmacie clinique (notamment de la conciliation médicamenteuse) fait l’objet d’indicateurs obligatoires dans le cadre du CAQES. </w:t>
      </w:r>
      <w:r w:rsidR="00086F85" w:rsidRPr="000F5B9F">
        <w:rPr>
          <w:b/>
        </w:rPr>
        <w:t>Le CAQES s’applique à tous les établissements de santé (</w:t>
      </w:r>
      <w:r w:rsidR="009762EB">
        <w:rPr>
          <w:b/>
        </w:rPr>
        <w:t>MCO, HAD, dialyse, SSR/SLD, santé mentale</w:t>
      </w:r>
      <w:r w:rsidR="00086F85" w:rsidRPr="000F5B9F">
        <w:rPr>
          <w:b/>
        </w:rPr>
        <w:t xml:space="preserve">), avec </w:t>
      </w:r>
      <w:r w:rsidR="00B31D1E">
        <w:rPr>
          <w:b/>
        </w:rPr>
        <w:t>de nouvelles exigences </w:t>
      </w:r>
      <w:r w:rsidR="00086F85" w:rsidRPr="000F5B9F">
        <w:rPr>
          <w:b/>
        </w:rPr>
        <w:t>en termes de qualité et d’efficience de la pharmacie clinique.</w:t>
      </w:r>
    </w:p>
    <w:p w:rsidR="00DE0304" w:rsidRDefault="00DE0304" w:rsidP="00746642">
      <w:pPr>
        <w:pStyle w:val="Paragraphedeliste"/>
        <w:numPr>
          <w:ilvl w:val="0"/>
          <w:numId w:val="5"/>
        </w:numPr>
      </w:pPr>
      <w:r w:rsidRPr="00B261EC">
        <w:t>Ordonnance du 15 décembre 2016 relative aux pharmacies à usage intérieur</w:t>
      </w:r>
      <w:r>
        <w:t> :</w:t>
      </w:r>
    </w:p>
    <w:p w:rsidR="00DE0304" w:rsidRPr="000F5B9F" w:rsidRDefault="00DE0304" w:rsidP="00DE0304">
      <w:pPr>
        <w:pStyle w:val="Paragraphe"/>
        <w:rPr>
          <w:rFonts w:asciiTheme="minorHAnsi" w:hAnsiTheme="minorHAnsi"/>
          <w:i/>
        </w:rPr>
      </w:pPr>
      <w:r w:rsidRPr="000F5B9F">
        <w:rPr>
          <w:rFonts w:asciiTheme="minorHAnsi" w:hAnsiTheme="minorHAnsi"/>
          <w:i/>
        </w:rPr>
        <w:t xml:space="preserve">« Les pharmacies à usage intérieur </w:t>
      </w:r>
      <w:r w:rsidRPr="000F5B9F">
        <w:rPr>
          <w:rFonts w:asciiTheme="minorHAnsi" w:hAnsiTheme="minorHAnsi" w:cs="Arial"/>
          <w:i/>
          <w:color w:val="000000"/>
          <w:shd w:val="clear" w:color="auto" w:fill="FFFFFF"/>
        </w:rPr>
        <w:t>[…]</w:t>
      </w:r>
      <w:r w:rsidRPr="000F5B9F">
        <w:rPr>
          <w:rFonts w:asciiTheme="minorHAnsi" w:hAnsiTheme="minorHAnsi"/>
          <w:i/>
        </w:rPr>
        <w:t xml:space="preserve"> </w:t>
      </w:r>
      <w:r w:rsidRPr="000F5B9F">
        <w:rPr>
          <w:rFonts w:asciiTheme="minorHAnsi" w:hAnsiTheme="minorHAnsi" w:cs="Arial"/>
          <w:i/>
          <w:color w:val="000000"/>
          <w:shd w:val="clear" w:color="auto" w:fill="FFFFFF"/>
        </w:rPr>
        <w:t xml:space="preserve">ont pour missions : […] </w:t>
      </w:r>
      <w:r w:rsidRPr="000F5B9F">
        <w:rPr>
          <w:rFonts w:asciiTheme="minorHAnsi" w:hAnsiTheme="minorHAnsi"/>
          <w:i/>
        </w:rPr>
        <w:t>De mener toute action de pharmacie clinique, à savoir de contribuer à la sécurisation, à la pertinence et à l'efficience du recours aux produits de santé mentionnés au 1° et de concourir à la qualité des soins, en collaboration avec les autres membres de l'équipe de soins mentionnée à l'article L. 1110-12, et en y associant le patient. »</w:t>
      </w:r>
    </w:p>
    <w:p w:rsidR="00DE0304" w:rsidRPr="00DE0304" w:rsidRDefault="00DE0304" w:rsidP="009412E3">
      <w:pPr>
        <w:pStyle w:val="Style2"/>
      </w:pPr>
      <w:bookmarkStart w:id="3" w:name="_Toc524602863"/>
      <w:r w:rsidRPr="00DE0304">
        <w:t>Etat des lieux régional</w:t>
      </w:r>
      <w:bookmarkEnd w:id="3"/>
      <w:r w:rsidRPr="00DE0304">
        <w:t xml:space="preserve"> </w:t>
      </w:r>
    </w:p>
    <w:p w:rsidR="00DE0304" w:rsidRDefault="006B1FAB" w:rsidP="000F5B9F">
      <w:r>
        <w:t xml:space="preserve">L’analyse pharmaceutique est une composante majeure des activités de pharmacie clinique. </w:t>
      </w:r>
      <w:r w:rsidR="00626A63">
        <w:t xml:space="preserve">En région Pays de la Loire, cette </w:t>
      </w:r>
      <w:r w:rsidR="00DE0304">
        <w:t>a</w:t>
      </w:r>
      <w:r w:rsidR="009C1D0F" w:rsidRPr="009C1D0F">
        <w:t xml:space="preserve">ctivité </w:t>
      </w:r>
      <w:r w:rsidR="00DE0304">
        <w:t xml:space="preserve">est </w:t>
      </w:r>
      <w:r w:rsidR="009C1D0F" w:rsidRPr="009C1D0F">
        <w:t>désormais développée dans les établissements MCO (</w:t>
      </w:r>
      <w:r w:rsidR="00DE0304">
        <w:t xml:space="preserve">données issues des indicateurs du </w:t>
      </w:r>
      <w:r w:rsidR="009C1D0F" w:rsidRPr="009C1D0F">
        <w:t>C</w:t>
      </w:r>
      <w:r w:rsidR="00DE0304">
        <w:t xml:space="preserve">ontrat de </w:t>
      </w:r>
      <w:r w:rsidR="009C1D0F" w:rsidRPr="009C1D0F">
        <w:t>B</w:t>
      </w:r>
      <w:r w:rsidR="00DE0304">
        <w:t xml:space="preserve">on </w:t>
      </w:r>
      <w:r w:rsidR="009C1D0F" w:rsidRPr="009C1D0F">
        <w:t>U</w:t>
      </w:r>
      <w:r w:rsidR="00DE0304">
        <w:t>sage 2014-2018</w:t>
      </w:r>
      <w:r w:rsidR="009C1D0F" w:rsidRPr="009C1D0F">
        <w:t>) : en 2016, 69% des lits MCO et 61,7% des lits hors-MCO</w:t>
      </w:r>
      <w:r w:rsidR="00DE0304">
        <w:t xml:space="preserve"> bénéficient d’une analyse pharmaceutique.</w:t>
      </w:r>
    </w:p>
    <w:p w:rsidR="009C1D0F" w:rsidRDefault="009C1D0F" w:rsidP="009C1D0F">
      <w:pPr>
        <w:pStyle w:val="Paragraphe"/>
        <w:jc w:val="center"/>
      </w:pPr>
      <w:r>
        <w:rPr>
          <w:noProof/>
          <w:lang w:eastAsia="fr-FR"/>
        </w:rPr>
        <w:lastRenderedPageBreak/>
        <w:drawing>
          <wp:inline distT="0" distB="0" distL="0" distR="0" wp14:anchorId="053BB616" wp14:editId="5EC51EE4">
            <wp:extent cx="3588589" cy="1932317"/>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2">
                      <a:extLst>
                        <a:ext uri="{28A0092B-C50C-407E-A947-70E740481C1C}">
                          <a14:useLocalDpi xmlns:a14="http://schemas.microsoft.com/office/drawing/2010/main" val="0"/>
                        </a:ext>
                      </a:extLst>
                    </a:blip>
                    <a:srcRect b="20233"/>
                    <a:stretch/>
                  </pic:blipFill>
                  <pic:spPr bwMode="auto">
                    <a:xfrm>
                      <a:off x="0" y="0"/>
                      <a:ext cx="3594483" cy="1935491"/>
                    </a:xfrm>
                    <a:prstGeom prst="rect">
                      <a:avLst/>
                    </a:prstGeom>
                    <a:noFill/>
                    <a:ln>
                      <a:noFill/>
                    </a:ln>
                    <a:extLst>
                      <a:ext uri="{53640926-AAD7-44D8-BBD7-CCE9431645EC}">
                        <a14:shadowObscured xmlns:a14="http://schemas.microsoft.com/office/drawing/2010/main"/>
                      </a:ext>
                    </a:extLst>
                  </pic:spPr>
                </pic:pic>
              </a:graphicData>
            </a:graphic>
          </wp:inline>
        </w:drawing>
      </w:r>
    </w:p>
    <w:p w:rsidR="009762EB" w:rsidRPr="009762EB" w:rsidRDefault="009762EB" w:rsidP="009762EB">
      <w:pPr>
        <w:ind w:left="1134" w:right="1275"/>
        <w:jc w:val="center"/>
        <w:rPr>
          <w:i/>
          <w:sz w:val="20"/>
        </w:rPr>
      </w:pPr>
      <w:r w:rsidRPr="009762EB">
        <w:rPr>
          <w:i/>
          <w:sz w:val="20"/>
        </w:rPr>
        <w:t>Evolution du nombre de lits MCO bénéficiant d’une analyse pharmaceutique complète de la prescription au sein de la région Pays de la Loire</w:t>
      </w:r>
    </w:p>
    <w:p w:rsidR="00D211AC" w:rsidRPr="009C1D0F" w:rsidRDefault="00DE0304" w:rsidP="000F5B9F">
      <w:r>
        <w:t xml:space="preserve">Les résultats du CBU indiquent </w:t>
      </w:r>
      <w:r w:rsidR="00086F85">
        <w:t xml:space="preserve">également </w:t>
      </w:r>
      <w:r>
        <w:t>que</w:t>
      </w:r>
      <w:r w:rsidR="009C1D0F" w:rsidRPr="009C1D0F">
        <w:t xml:space="preserve"> 25% (14/56) des établissements </w:t>
      </w:r>
      <w:r>
        <w:t xml:space="preserve">MCO </w:t>
      </w:r>
      <w:r w:rsidR="009C1D0F" w:rsidRPr="009C1D0F">
        <w:t>de la région déclarent réaliser une activité de conciliation médicamenteuse en 2016</w:t>
      </w:r>
      <w:r>
        <w:t>.</w:t>
      </w:r>
    </w:p>
    <w:p w:rsidR="00226973" w:rsidRDefault="00DE0304" w:rsidP="009412E3">
      <w:pPr>
        <w:pStyle w:val="Style2"/>
      </w:pPr>
      <w:bookmarkStart w:id="4" w:name="_Toc524602864"/>
      <w:r w:rsidRPr="00DE0304">
        <w:t>Le modèle de pharmacie clinique :</w:t>
      </w:r>
      <w:bookmarkEnd w:id="4"/>
    </w:p>
    <w:p w:rsidR="00226973" w:rsidRDefault="00226973" w:rsidP="000F5B9F">
      <w:r>
        <w:t>Ce modèle proposé par la SFPC en 2017 reformule l’ensemble des disciplines de pharmacie clinique et les associent dans une prise en charge coordonnée du patient. On y retrouve notamment :</w:t>
      </w:r>
    </w:p>
    <w:p w:rsidR="00D2700E" w:rsidRDefault="00226973" w:rsidP="00D2700E">
      <w:pPr>
        <w:pStyle w:val="Paragraphedeliste"/>
        <w:numPr>
          <w:ilvl w:val="0"/>
          <w:numId w:val="5"/>
        </w:numPr>
      </w:pPr>
      <w:r w:rsidRPr="009762EB">
        <w:rPr>
          <w:b/>
        </w:rPr>
        <w:t>L’analyse pharmaceutique</w:t>
      </w:r>
      <w:r w:rsidRPr="000F5B9F">
        <w:t xml:space="preserve"> à chaque niveau de prestations</w:t>
      </w:r>
    </w:p>
    <w:p w:rsidR="00D2700E" w:rsidRDefault="00226973" w:rsidP="00D2700E">
      <w:pPr>
        <w:pStyle w:val="Paragraphedeliste"/>
        <w:numPr>
          <w:ilvl w:val="0"/>
          <w:numId w:val="5"/>
        </w:numPr>
      </w:pPr>
      <w:r w:rsidRPr="000F5B9F">
        <w:t xml:space="preserve">La conciliation médicamenteuse associée à l’entretien avec le patient, sous l’appellation plus générale de </w:t>
      </w:r>
      <w:r w:rsidRPr="009762EB">
        <w:rPr>
          <w:b/>
        </w:rPr>
        <w:t>bilan de médication</w:t>
      </w:r>
      <w:r w:rsidRPr="000F5B9F">
        <w:t>, réalisé à la fois en ville et en établissements de santé</w:t>
      </w:r>
    </w:p>
    <w:p w:rsidR="00226973" w:rsidRPr="000F5B9F" w:rsidRDefault="00226973" w:rsidP="00D2700E">
      <w:pPr>
        <w:pStyle w:val="Paragraphedeliste"/>
        <w:numPr>
          <w:ilvl w:val="0"/>
          <w:numId w:val="5"/>
        </w:numPr>
      </w:pPr>
      <w:r w:rsidRPr="009762EB">
        <w:rPr>
          <w:b/>
        </w:rPr>
        <w:t>L’entretien pharmaceutique ciblé, l’éducation thérapeutique</w:t>
      </w:r>
      <w:r w:rsidRPr="000F5B9F">
        <w:t xml:space="preserve"> permettant d’aboutir à un plan pharmaceutique personnalisé</w:t>
      </w:r>
      <w:r w:rsidR="002639D4" w:rsidRPr="000F5B9F">
        <w:t>.</w:t>
      </w:r>
    </w:p>
    <w:p w:rsidR="00DE0304" w:rsidRDefault="00226973" w:rsidP="009C6CE6">
      <w:pPr>
        <w:pStyle w:val="Paragraphe"/>
        <w:jc w:val="center"/>
      </w:pPr>
      <w:r w:rsidRPr="00226973">
        <w:rPr>
          <w:noProof/>
          <w:lang w:eastAsia="fr-FR"/>
        </w:rPr>
        <w:drawing>
          <wp:inline distT="0" distB="0" distL="0" distR="0" wp14:anchorId="4B3EF3CF" wp14:editId="491C2404">
            <wp:extent cx="4919658" cy="3709359"/>
            <wp:effectExtent l="0" t="0" r="0" b="5715"/>
            <wp:docPr id="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1"/>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928301" cy="3715876"/>
                    </a:xfrm>
                    <a:prstGeom prst="rect">
                      <a:avLst/>
                    </a:prstGeom>
                  </pic:spPr>
                </pic:pic>
              </a:graphicData>
            </a:graphic>
          </wp:inline>
        </w:drawing>
      </w:r>
    </w:p>
    <w:p w:rsidR="009C1D0F" w:rsidRDefault="009C1D0F" w:rsidP="009412E3">
      <w:pPr>
        <w:pStyle w:val="Style2"/>
      </w:pPr>
      <w:bookmarkStart w:id="5" w:name="_Toc524602865"/>
      <w:r w:rsidRPr="00226973">
        <w:lastRenderedPageBreak/>
        <w:t xml:space="preserve">Enjeux </w:t>
      </w:r>
      <w:r w:rsidR="00226973" w:rsidRPr="00226973">
        <w:t>actuels</w:t>
      </w:r>
      <w:bookmarkEnd w:id="5"/>
      <w:r w:rsidRPr="00226973">
        <w:t xml:space="preserve"> </w:t>
      </w:r>
    </w:p>
    <w:p w:rsidR="00226973" w:rsidRPr="00226973" w:rsidRDefault="00226973" w:rsidP="000F5B9F">
      <w:r>
        <w:t>Les enjeux actuels pour les professionnels responsables du déploiement des activités de pharmacie clinique sont de :</w:t>
      </w:r>
    </w:p>
    <w:p w:rsidR="007515DD" w:rsidRPr="009C1D0F" w:rsidRDefault="001D2D36" w:rsidP="00746642">
      <w:pPr>
        <w:pStyle w:val="Paragraphe"/>
        <w:numPr>
          <w:ilvl w:val="0"/>
          <w:numId w:val="4"/>
        </w:numPr>
      </w:pPr>
      <w:r w:rsidRPr="001D2D36">
        <w:rPr>
          <w:bCs/>
        </w:rPr>
        <w:t>Développer et</w:t>
      </w:r>
      <w:r>
        <w:rPr>
          <w:b/>
          <w:bCs/>
        </w:rPr>
        <w:t xml:space="preserve"> p</w:t>
      </w:r>
      <w:r w:rsidR="007B3CD2" w:rsidRPr="009C1D0F">
        <w:rPr>
          <w:b/>
          <w:bCs/>
        </w:rPr>
        <w:t>érenniser</w:t>
      </w:r>
      <w:r w:rsidR="007B3CD2" w:rsidRPr="009C1D0F">
        <w:t xml:space="preserve"> les activités de pharmacie clinique </w:t>
      </w:r>
    </w:p>
    <w:p w:rsidR="007515DD" w:rsidRPr="009C1D0F" w:rsidRDefault="00226973" w:rsidP="00746642">
      <w:pPr>
        <w:pStyle w:val="Paragraphe"/>
        <w:numPr>
          <w:ilvl w:val="1"/>
          <w:numId w:val="4"/>
        </w:numPr>
      </w:pPr>
      <w:r>
        <w:t xml:space="preserve">Avec le plus souvent </w:t>
      </w:r>
      <w:r w:rsidR="001D2D36">
        <w:t xml:space="preserve">des ressources humaines et financières </w:t>
      </w:r>
      <w:r w:rsidR="009762EB">
        <w:t>contraintes</w:t>
      </w:r>
    </w:p>
    <w:p w:rsidR="007515DD" w:rsidRPr="009C1D0F" w:rsidRDefault="001D2D36" w:rsidP="00746642">
      <w:pPr>
        <w:pStyle w:val="Paragraphe"/>
        <w:numPr>
          <w:ilvl w:val="1"/>
          <w:numId w:val="4"/>
        </w:numPr>
      </w:pPr>
      <w:r>
        <w:t>Et des</w:t>
      </w:r>
      <w:r w:rsidR="007B3CD2" w:rsidRPr="009C1D0F">
        <w:t xml:space="preserve"> exigences </w:t>
      </w:r>
      <w:r>
        <w:t xml:space="preserve">réglementaires croissantes </w:t>
      </w:r>
      <w:r w:rsidR="007B3CD2" w:rsidRPr="009C1D0F">
        <w:t>(conciliation/CAQES)</w:t>
      </w:r>
    </w:p>
    <w:p w:rsidR="007515DD" w:rsidRPr="009C1D0F" w:rsidRDefault="006B1FAB" w:rsidP="00746642">
      <w:pPr>
        <w:pStyle w:val="Paragraphe"/>
        <w:numPr>
          <w:ilvl w:val="0"/>
          <w:numId w:val="4"/>
        </w:numPr>
      </w:pPr>
      <w:r>
        <w:t>Démontrer la pertinence et l’efficience de</w:t>
      </w:r>
      <w:r w:rsidR="007B3CD2" w:rsidRPr="009C1D0F">
        <w:t>s activités</w:t>
      </w:r>
      <w:r>
        <w:t xml:space="preserve"> de pharmacie clinique</w:t>
      </w:r>
      <w:r w:rsidR="00626A63">
        <w:t> : « </w:t>
      </w:r>
      <w:r w:rsidR="00626A63" w:rsidRPr="00626A63">
        <w:rPr>
          <w:b/>
        </w:rPr>
        <w:t>optimiser</w:t>
      </w:r>
      <w:r w:rsidR="00626A63">
        <w:t> »</w:t>
      </w:r>
    </w:p>
    <w:p w:rsidR="007515DD" w:rsidRPr="009C1D0F" w:rsidRDefault="007B3CD2" w:rsidP="00746642">
      <w:pPr>
        <w:pStyle w:val="Paragraphe"/>
        <w:numPr>
          <w:ilvl w:val="1"/>
          <w:numId w:val="4"/>
        </w:numPr>
      </w:pPr>
      <w:r w:rsidRPr="009C1D0F">
        <w:t>Quel</w:t>
      </w:r>
      <w:r w:rsidR="001D2D36">
        <w:t>s</w:t>
      </w:r>
      <w:r w:rsidRPr="009C1D0F">
        <w:t xml:space="preserve"> impact</w:t>
      </w:r>
      <w:r w:rsidR="001D2D36">
        <w:t>s</w:t>
      </w:r>
      <w:r w:rsidRPr="009C1D0F">
        <w:t xml:space="preserve"> ? Quels indicateurs pour le justifier ?</w:t>
      </w:r>
    </w:p>
    <w:p w:rsidR="007515DD" w:rsidRPr="009C1D0F" w:rsidRDefault="007B3CD2" w:rsidP="00746642">
      <w:pPr>
        <w:pStyle w:val="Paragraphe"/>
        <w:numPr>
          <w:ilvl w:val="1"/>
          <w:numId w:val="4"/>
        </w:numPr>
      </w:pPr>
      <w:r w:rsidRPr="009C1D0F">
        <w:t>Repenser, revoir les activités et les organisations</w:t>
      </w:r>
      <w:r w:rsidR="001D2D36">
        <w:t>, prioriser les activités pharmaceutiques, en fonction de la valeur ajoutée de chacune</w:t>
      </w:r>
    </w:p>
    <w:p w:rsidR="007515DD" w:rsidRPr="009C1D0F" w:rsidRDefault="007B3CD2" w:rsidP="00746642">
      <w:pPr>
        <w:pStyle w:val="Paragraphe"/>
        <w:numPr>
          <w:ilvl w:val="0"/>
          <w:numId w:val="4"/>
        </w:numPr>
      </w:pPr>
      <w:r w:rsidRPr="009C1D0F">
        <w:rPr>
          <w:b/>
          <w:bCs/>
        </w:rPr>
        <w:t>Valoriser</w:t>
      </w:r>
      <w:r w:rsidRPr="009C1D0F">
        <w:t xml:space="preserve"> le travail, les équipes</w:t>
      </w:r>
      <w:r w:rsidR="009762EB">
        <w:t>, communiquer efficacement</w:t>
      </w:r>
    </w:p>
    <w:p w:rsidR="007515DD" w:rsidRPr="009C1D0F" w:rsidRDefault="007B3CD2" w:rsidP="00746642">
      <w:pPr>
        <w:pStyle w:val="Paragraphe"/>
        <w:numPr>
          <w:ilvl w:val="1"/>
          <w:numId w:val="4"/>
        </w:numPr>
      </w:pPr>
      <w:r w:rsidRPr="009C1D0F">
        <w:t>Auprès des directions, de la communauté médicale, des soignants</w:t>
      </w:r>
      <w:r w:rsidR="007A5BB1">
        <w:t>, des patients</w:t>
      </w:r>
    </w:p>
    <w:p w:rsidR="007515DD" w:rsidRDefault="001D2D36" w:rsidP="00746642">
      <w:pPr>
        <w:pStyle w:val="Paragraphe"/>
        <w:numPr>
          <w:ilvl w:val="1"/>
          <w:numId w:val="4"/>
        </w:numPr>
      </w:pPr>
      <w:r>
        <w:t>Auprès des autorités de santé (p</w:t>
      </w:r>
      <w:r w:rsidR="007B3CD2" w:rsidRPr="009C1D0F">
        <w:t>as d’act</w:t>
      </w:r>
      <w:r>
        <w:t xml:space="preserve">es, </w:t>
      </w:r>
      <w:r w:rsidR="00D2700E">
        <w:t xml:space="preserve">ni de </w:t>
      </w:r>
      <w:r>
        <w:t>rémunération associés</w:t>
      </w:r>
      <w:r w:rsidR="00226973">
        <w:t xml:space="preserve"> à ce jour</w:t>
      </w:r>
      <w:r>
        <w:t>)</w:t>
      </w:r>
    </w:p>
    <w:p w:rsidR="009C1D0F" w:rsidRDefault="009C1D0F" w:rsidP="009C1D0F">
      <w:pPr>
        <w:spacing w:after="0" w:line="240" w:lineRule="auto"/>
        <w:rPr>
          <w:color w:val="034EA2"/>
        </w:rPr>
      </w:pPr>
    </w:p>
    <w:p w:rsidR="009C1D0F" w:rsidRPr="009C1D0F" w:rsidRDefault="009C1D0F" w:rsidP="009C6CE6">
      <w:pPr>
        <w:pStyle w:val="Paragraphe"/>
        <w:ind w:left="1080"/>
        <w:jc w:val="left"/>
      </w:pPr>
      <w:r>
        <w:rPr>
          <w:noProof/>
          <w:color w:val="034EA2"/>
          <w:lang w:eastAsia="fr-FR"/>
        </w:rPr>
        <w:drawing>
          <wp:inline distT="0" distB="0" distL="0" distR="0" wp14:anchorId="579E82CC" wp14:editId="770CA1AD">
            <wp:extent cx="3861856" cy="2536166"/>
            <wp:effectExtent l="0" t="0" r="0" b="0"/>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860320" cy="2535157"/>
                    </a:xfrm>
                    <a:prstGeom prst="rect">
                      <a:avLst/>
                    </a:prstGeom>
                    <a:noFill/>
                  </pic:spPr>
                </pic:pic>
              </a:graphicData>
            </a:graphic>
          </wp:inline>
        </w:drawing>
      </w:r>
    </w:p>
    <w:p w:rsidR="001D2D36" w:rsidRDefault="001D2D36" w:rsidP="001D2D36">
      <w:pPr>
        <w:pStyle w:val="Paragraphe"/>
      </w:pPr>
    </w:p>
    <w:p w:rsidR="001D2D36" w:rsidRDefault="009C1D0F" w:rsidP="000F5B9F">
      <w:r w:rsidRPr="009C1D0F">
        <w:t>La détermination d’une stratégie de pharmacie clinique est</w:t>
      </w:r>
      <w:r>
        <w:t xml:space="preserve"> donc</w:t>
      </w:r>
      <w:r w:rsidRPr="009C1D0F">
        <w:t xml:space="preserve"> indispensable pour les établissements de santé afin de</w:t>
      </w:r>
      <w:r w:rsidR="001D2D36">
        <w:t> </w:t>
      </w:r>
      <w:r>
        <w:t xml:space="preserve">répondre à ces </w:t>
      </w:r>
      <w:r w:rsidR="001D2D36">
        <w:t xml:space="preserve">trois </w:t>
      </w:r>
      <w:r>
        <w:t>enjeux</w:t>
      </w:r>
      <w:r w:rsidR="001D2D36">
        <w:t xml:space="preserve"> et d’inscrire la pharmacie clinique dans la dynamique de l’établissement (projet d’établissement, projet médical).</w:t>
      </w:r>
    </w:p>
    <w:p w:rsidR="009412E3" w:rsidRDefault="009412E3">
      <w:pPr>
        <w:spacing w:after="0" w:line="240" w:lineRule="auto"/>
        <w:jc w:val="left"/>
        <w:rPr>
          <w:b/>
          <w:color w:val="034EA2"/>
          <w:sz w:val="32"/>
        </w:rPr>
      </w:pPr>
      <w:r>
        <w:br w:type="page"/>
      </w:r>
    </w:p>
    <w:p w:rsidR="001D2D36" w:rsidRPr="00C60262" w:rsidRDefault="009412E3" w:rsidP="001D2D36">
      <w:pPr>
        <w:pStyle w:val="Style1"/>
      </w:pPr>
      <w:bookmarkStart w:id="6" w:name="_Toc524602866"/>
      <w:r>
        <w:lastRenderedPageBreak/>
        <w:t>INTRODUCTION</w:t>
      </w:r>
      <w:bookmarkEnd w:id="6"/>
    </w:p>
    <w:p w:rsidR="00DD68D0" w:rsidRDefault="00DD68D0" w:rsidP="00DD68D0">
      <w:pPr>
        <w:pStyle w:val="Style2"/>
        <w:numPr>
          <w:ilvl w:val="0"/>
          <w:numId w:val="0"/>
        </w:numPr>
      </w:pPr>
    </w:p>
    <w:p w:rsidR="00DD68D0" w:rsidRDefault="00DD68D0" w:rsidP="00746642">
      <w:pPr>
        <w:pStyle w:val="Style2"/>
        <w:numPr>
          <w:ilvl w:val="0"/>
          <w:numId w:val="11"/>
        </w:numPr>
      </w:pPr>
      <w:bookmarkStart w:id="7" w:name="_Toc524602867"/>
      <w:r>
        <w:t>Objectifs de ce guide</w:t>
      </w:r>
      <w:bookmarkEnd w:id="7"/>
    </w:p>
    <w:p w:rsidR="00D211AC" w:rsidRDefault="00D211AC" w:rsidP="000F5B9F">
      <w:r>
        <w:t>Les objectifs que se sont fixés les membres du groupe de travail sont les suivants :</w:t>
      </w:r>
    </w:p>
    <w:p w:rsidR="00D211AC" w:rsidRDefault="00812B6A" w:rsidP="00746642">
      <w:pPr>
        <w:pStyle w:val="Paragraphe"/>
        <w:numPr>
          <w:ilvl w:val="0"/>
          <w:numId w:val="5"/>
        </w:numPr>
      </w:pPr>
      <w:r w:rsidRPr="00B30939">
        <w:rPr>
          <w:b/>
        </w:rPr>
        <w:t>E</w:t>
      </w:r>
      <w:r w:rsidR="00D211AC" w:rsidRPr="00B30939">
        <w:rPr>
          <w:b/>
        </w:rPr>
        <w:t xml:space="preserve">laborer </w:t>
      </w:r>
      <w:r w:rsidR="009412E3" w:rsidRPr="00B30939">
        <w:rPr>
          <w:b/>
        </w:rPr>
        <w:t xml:space="preserve">un outil d’aide à </w:t>
      </w:r>
      <w:r w:rsidR="00057586">
        <w:rPr>
          <w:b/>
        </w:rPr>
        <w:t xml:space="preserve">l’élaboration et </w:t>
      </w:r>
      <w:r w:rsidR="009412E3" w:rsidRPr="00B30939">
        <w:rPr>
          <w:b/>
        </w:rPr>
        <w:t>la</w:t>
      </w:r>
      <w:r w:rsidR="00255C2E" w:rsidRPr="00B30939">
        <w:rPr>
          <w:b/>
        </w:rPr>
        <w:t xml:space="preserve"> mise en place d’une stratégie</w:t>
      </w:r>
      <w:r w:rsidR="00255C2E" w:rsidRPr="00255C2E">
        <w:t xml:space="preserve"> </w:t>
      </w:r>
      <w:r w:rsidR="00057586">
        <w:t xml:space="preserve">de déploiement </w:t>
      </w:r>
      <w:r w:rsidR="00255C2E" w:rsidRPr="00255C2E">
        <w:t xml:space="preserve">de </w:t>
      </w:r>
      <w:r w:rsidR="00057586">
        <w:t xml:space="preserve">la </w:t>
      </w:r>
      <w:r w:rsidR="00255C2E" w:rsidRPr="00255C2E">
        <w:t>pharmacie clinique</w:t>
      </w:r>
      <w:r>
        <w:t xml:space="preserve"> </w:t>
      </w:r>
    </w:p>
    <w:p w:rsidR="00812B6A" w:rsidRDefault="009412E3" w:rsidP="00746642">
      <w:pPr>
        <w:pStyle w:val="Paragraphe"/>
        <w:numPr>
          <w:ilvl w:val="0"/>
          <w:numId w:val="5"/>
        </w:numPr>
      </w:pPr>
      <w:r w:rsidRPr="00B30939">
        <w:rPr>
          <w:b/>
        </w:rPr>
        <w:t>Apporter des expériences</w:t>
      </w:r>
      <w:r>
        <w:t xml:space="preserve"> et des exemples concrets de pratique de la pharmacie clinique déjà existants dans la région</w:t>
      </w:r>
      <w:r w:rsidR="00812B6A">
        <w:t xml:space="preserve"> </w:t>
      </w:r>
    </w:p>
    <w:p w:rsidR="009C6CE6" w:rsidRDefault="00812B6A" w:rsidP="00255C2E">
      <w:pPr>
        <w:pStyle w:val="Paragraphe"/>
        <w:numPr>
          <w:ilvl w:val="0"/>
          <w:numId w:val="5"/>
        </w:numPr>
      </w:pPr>
      <w:r w:rsidRPr="00B30939">
        <w:rPr>
          <w:b/>
        </w:rPr>
        <w:t>A</w:t>
      </w:r>
      <w:r w:rsidR="00D211AC" w:rsidRPr="00B30939">
        <w:rPr>
          <w:b/>
        </w:rPr>
        <w:t>ccompagner les établissements de santé de la région</w:t>
      </w:r>
      <w:r w:rsidR="00255C2E" w:rsidRPr="00812B6A">
        <w:t xml:space="preserve"> pour répondre aux indicateurs du CAQES</w:t>
      </w:r>
      <w:r w:rsidR="009C6CE6" w:rsidRPr="00812B6A">
        <w:t>,</w:t>
      </w:r>
      <w:r w:rsidR="009C6CE6">
        <w:t xml:space="preserve"> et notamment l’indicateur « mise en œuvre d’une stratégie de déploiement de la pharmacie clinique intégrée à la politique de management de la prise en charge médicamenteuse des patients (REG_28)</w:t>
      </w:r>
      <w:r w:rsidR="007963F8">
        <w:t> »</w:t>
      </w:r>
      <w:r w:rsidR="009C6CE6">
        <w:t>.</w:t>
      </w:r>
    </w:p>
    <w:p w:rsidR="00917A50" w:rsidRDefault="009C6CE6" w:rsidP="000F5B9F">
      <w:r>
        <w:t>Ce document est validé par l’Agence Régionale de Santé</w:t>
      </w:r>
      <w:r w:rsidR="00255C2E">
        <w:t xml:space="preserve"> </w:t>
      </w:r>
      <w:r>
        <w:t>(ARS).</w:t>
      </w:r>
    </w:p>
    <w:p w:rsidR="00DD68D0" w:rsidRDefault="00DD68D0" w:rsidP="00DD68D0">
      <w:pPr>
        <w:pStyle w:val="Style2"/>
      </w:pPr>
      <w:bookmarkStart w:id="8" w:name="_Toc524602868"/>
      <w:r>
        <w:t>Que contient ce guide ?</w:t>
      </w:r>
      <w:bookmarkEnd w:id="8"/>
    </w:p>
    <w:p w:rsidR="009C6CE6" w:rsidRPr="00860A22" w:rsidRDefault="009C6CE6" w:rsidP="00860A22">
      <w:pPr>
        <w:pStyle w:val="Paragraphe"/>
        <w:numPr>
          <w:ilvl w:val="0"/>
          <w:numId w:val="4"/>
        </w:numPr>
        <w:rPr>
          <w:bCs/>
        </w:rPr>
      </w:pPr>
      <w:r w:rsidRPr="00860A22">
        <w:rPr>
          <w:bCs/>
        </w:rPr>
        <w:t>Une t</w:t>
      </w:r>
      <w:r w:rsidR="00255C2E" w:rsidRPr="00860A22">
        <w:rPr>
          <w:bCs/>
        </w:rPr>
        <w:t>rame détaillée</w:t>
      </w:r>
      <w:r w:rsidRPr="00860A22">
        <w:rPr>
          <w:bCs/>
        </w:rPr>
        <w:t xml:space="preserve"> reprenant l’ensemble </w:t>
      </w:r>
      <w:r w:rsidR="00986060">
        <w:rPr>
          <w:bCs/>
        </w:rPr>
        <w:t>des points pou</w:t>
      </w:r>
      <w:r w:rsidRPr="00860A22">
        <w:rPr>
          <w:bCs/>
        </w:rPr>
        <w:t>vant apparaître dans un document formalisant la stratégie de pharmacie clinique dans un établissement.</w:t>
      </w:r>
    </w:p>
    <w:p w:rsidR="009C6CE6" w:rsidRDefault="009C6CE6" w:rsidP="00860A22">
      <w:pPr>
        <w:pStyle w:val="Paragraphe"/>
        <w:numPr>
          <w:ilvl w:val="1"/>
          <w:numId w:val="4"/>
        </w:numPr>
      </w:pPr>
      <w:r>
        <w:t>T</w:t>
      </w:r>
      <w:r w:rsidR="00255C2E">
        <w:t>ous les items ne sont pas f</w:t>
      </w:r>
      <w:r w:rsidR="002639D4">
        <w:t>orcément à prendre en compte s’ils ne sont pas jugés indispensables dans un établissement, une</w:t>
      </w:r>
      <w:r w:rsidR="00255C2E">
        <w:t xml:space="preserve"> situation</w:t>
      </w:r>
      <w:r w:rsidR="00812B6A">
        <w:t xml:space="preserve"> ou une activité</w:t>
      </w:r>
      <w:r w:rsidR="002639D4">
        <w:t xml:space="preserve"> donnée</w:t>
      </w:r>
    </w:p>
    <w:p w:rsidR="009C6CE6" w:rsidRDefault="00A250F3" w:rsidP="00860A22">
      <w:pPr>
        <w:pStyle w:val="Paragraphe"/>
        <w:numPr>
          <w:ilvl w:val="1"/>
          <w:numId w:val="4"/>
        </w:numPr>
      </w:pPr>
      <w:r>
        <w:t>Les points importants à prendre en compte</w:t>
      </w:r>
      <w:r w:rsidR="00255C2E">
        <w:t xml:space="preserve"> sont identifiés</w:t>
      </w:r>
      <w:r w:rsidR="009C6CE6">
        <w:t xml:space="preserve"> (</w:t>
      </w:r>
      <w:r w:rsidR="009C04A0">
        <w:t>sigle</w:t>
      </w:r>
      <w:r w:rsidR="00812B6A" w:rsidRPr="00860A22">
        <w:sym w:font="Wingdings" w:char="F024"/>
      </w:r>
      <w:r w:rsidR="009C6CE6">
        <w:t>)</w:t>
      </w:r>
    </w:p>
    <w:p w:rsidR="00917A50" w:rsidRPr="00860A22" w:rsidRDefault="00812B6A" w:rsidP="00860A22">
      <w:pPr>
        <w:pStyle w:val="Paragraphe"/>
        <w:numPr>
          <w:ilvl w:val="0"/>
          <w:numId w:val="4"/>
        </w:numPr>
        <w:rPr>
          <w:bCs/>
        </w:rPr>
      </w:pPr>
      <w:r w:rsidRPr="00860A22">
        <w:rPr>
          <w:bCs/>
        </w:rPr>
        <w:t>Le retour d’expérience régional : p</w:t>
      </w:r>
      <w:r w:rsidR="009C6CE6" w:rsidRPr="00860A22">
        <w:rPr>
          <w:bCs/>
        </w:rPr>
        <w:t xml:space="preserve">our chaque étape sont donnés un ou des </w:t>
      </w:r>
      <w:r w:rsidR="00917A50" w:rsidRPr="00860A22">
        <w:rPr>
          <w:bCs/>
        </w:rPr>
        <w:t xml:space="preserve">exemples issus </w:t>
      </w:r>
      <w:r w:rsidRPr="00860A22">
        <w:rPr>
          <w:bCs/>
        </w:rPr>
        <w:t xml:space="preserve">de la pratique dans des </w:t>
      </w:r>
      <w:r w:rsidR="00917A50" w:rsidRPr="00860A22">
        <w:rPr>
          <w:bCs/>
        </w:rPr>
        <w:t xml:space="preserve">établissements </w:t>
      </w:r>
      <w:r w:rsidR="009C6CE6" w:rsidRPr="00860A22">
        <w:rPr>
          <w:bCs/>
        </w:rPr>
        <w:t xml:space="preserve">de santé </w:t>
      </w:r>
      <w:r w:rsidR="00917A50" w:rsidRPr="00860A22">
        <w:rPr>
          <w:bCs/>
        </w:rPr>
        <w:t>de la région</w:t>
      </w:r>
      <w:r w:rsidR="009C6CE6" w:rsidRPr="00860A22">
        <w:rPr>
          <w:bCs/>
        </w:rPr>
        <w:t>.</w:t>
      </w:r>
    </w:p>
    <w:p w:rsidR="00DD68D0" w:rsidRPr="00DD68D0" w:rsidRDefault="00812B6A" w:rsidP="00DD68D0">
      <w:pPr>
        <w:pStyle w:val="Style2"/>
      </w:pPr>
      <w:bookmarkStart w:id="9" w:name="_Toc524602869"/>
      <w:r>
        <w:t>A qui s’adresse ce guide et c</w:t>
      </w:r>
      <w:r w:rsidR="00DD68D0">
        <w:t xml:space="preserve">omment </w:t>
      </w:r>
      <w:r>
        <w:t>l’utiliser</w:t>
      </w:r>
      <w:r w:rsidR="00DD68D0">
        <w:t> ?</w:t>
      </w:r>
      <w:bookmarkEnd w:id="9"/>
    </w:p>
    <w:p w:rsidR="009C6CE6" w:rsidRDefault="009762EB" w:rsidP="00860A22">
      <w:r w:rsidRPr="009762EB">
        <w:t>U</w:t>
      </w:r>
      <w:r w:rsidR="009C6CE6" w:rsidRPr="009762EB">
        <w:t>n p</w:t>
      </w:r>
      <w:r w:rsidR="00917A50" w:rsidRPr="009762EB">
        <w:t>ilote</w:t>
      </w:r>
      <w:r w:rsidR="009C6CE6" w:rsidRPr="009762EB">
        <w:t xml:space="preserve"> ou un binôme</w:t>
      </w:r>
      <w:r w:rsidR="009C6CE6">
        <w:t xml:space="preserve"> </w:t>
      </w:r>
      <w:r>
        <w:t xml:space="preserve">pourra être </w:t>
      </w:r>
      <w:r w:rsidR="00986060">
        <w:t>identifié</w:t>
      </w:r>
      <w:r>
        <w:t xml:space="preserve"> pour définir la stratégie</w:t>
      </w:r>
      <w:r w:rsidR="009C6CE6">
        <w:t xml:space="preserve">, </w:t>
      </w:r>
      <w:r w:rsidR="002639D4">
        <w:t xml:space="preserve">et </w:t>
      </w:r>
      <w:r>
        <w:t>la soumettre</w:t>
      </w:r>
      <w:r w:rsidR="009C6CE6">
        <w:t xml:space="preserve"> pour validation aux instances de l’établissement</w:t>
      </w:r>
      <w:r w:rsidR="00812B6A">
        <w:t>.</w:t>
      </w:r>
    </w:p>
    <w:p w:rsidR="00812B6A" w:rsidRDefault="002A79D4" w:rsidP="00860A22">
      <w:r>
        <w:t xml:space="preserve">L’association de professionnels convaincus et moteurs (et notamment de médecins) </w:t>
      </w:r>
      <w:r w:rsidR="009762EB">
        <w:t>sous forme</w:t>
      </w:r>
      <w:r w:rsidRPr="00B30939">
        <w:rPr>
          <w:b/>
        </w:rPr>
        <w:t xml:space="preserve"> </w:t>
      </w:r>
      <w:r w:rsidR="009762EB">
        <w:rPr>
          <w:b/>
        </w:rPr>
        <w:t>d’</w:t>
      </w:r>
      <w:r w:rsidRPr="00B30939">
        <w:rPr>
          <w:b/>
        </w:rPr>
        <w:t>un groupe de travail pluridisciplinaire</w:t>
      </w:r>
      <w:r w:rsidR="00F75527">
        <w:t xml:space="preserve"> pourra concourir à </w:t>
      </w:r>
      <w:r w:rsidR="007963F8">
        <w:t xml:space="preserve">construire </w:t>
      </w:r>
      <w:r w:rsidR="00F75527">
        <w:t>cette</w:t>
      </w:r>
      <w:r w:rsidR="009C6CE6">
        <w:t xml:space="preserve"> stratégie</w:t>
      </w:r>
      <w:r w:rsidR="007963F8">
        <w:t xml:space="preserve"> et l’alimenter</w:t>
      </w:r>
      <w:r w:rsidR="00812B6A">
        <w:t xml:space="preserve">. </w:t>
      </w:r>
    </w:p>
    <w:p w:rsidR="009C6CE6" w:rsidRDefault="009C6CE6" w:rsidP="00860A22">
      <w:r>
        <w:t>La trame proposée permet de lister de façon exhaustive tous les points à aborder, cependant chaque établissement peut la modifier à sa convenance.</w:t>
      </w:r>
    </w:p>
    <w:p w:rsidR="009C6CE6" w:rsidRDefault="009C6CE6" w:rsidP="00860A22">
      <w:r>
        <w:t xml:space="preserve">Ce guide est laissé à disposition en format </w:t>
      </w:r>
      <w:r w:rsidR="009C04A0">
        <w:t>Word</w:t>
      </w:r>
      <w:r>
        <w:t xml:space="preserve">, de façon à ce que les professionnels puissent l’utiliser et l’alimenter directement, en ajoutant ou en supprimant </w:t>
      </w:r>
      <w:r w:rsidR="00D2700E">
        <w:t>ce</w:t>
      </w:r>
      <w:r>
        <w:t xml:space="preserve"> qui leur semble nécessaire.</w:t>
      </w:r>
    </w:p>
    <w:p w:rsidR="00DD68D0" w:rsidRDefault="00DD68D0" w:rsidP="00B626AA">
      <w:pPr>
        <w:spacing w:after="0"/>
        <w:rPr>
          <w:i/>
        </w:rPr>
      </w:pPr>
    </w:p>
    <w:p w:rsidR="00300B58" w:rsidRDefault="00300B58" w:rsidP="00300B58">
      <w:pPr>
        <w:spacing w:after="0"/>
        <w:rPr>
          <w:b/>
        </w:rPr>
      </w:pPr>
    </w:p>
    <w:p w:rsidR="00C673E2" w:rsidRDefault="00C673E2" w:rsidP="00300B58">
      <w:pPr>
        <w:spacing w:after="0"/>
        <w:rPr>
          <w:b/>
        </w:rPr>
      </w:pPr>
    </w:p>
    <w:p w:rsidR="00C673E2" w:rsidRDefault="00C673E2" w:rsidP="00300B58">
      <w:pPr>
        <w:spacing w:after="0"/>
        <w:rPr>
          <w:b/>
        </w:rPr>
      </w:pPr>
    </w:p>
    <w:p w:rsidR="00C60262" w:rsidRDefault="00C60262">
      <w:pPr>
        <w:spacing w:after="0" w:line="240" w:lineRule="auto"/>
        <w:rPr>
          <w:b/>
          <w:color w:val="034EA2"/>
          <w:u w:val="single"/>
        </w:rPr>
      </w:pPr>
      <w:r>
        <w:rPr>
          <w:b/>
          <w:color w:val="034EA2"/>
          <w:u w:val="single"/>
        </w:rPr>
        <w:br w:type="page"/>
      </w:r>
    </w:p>
    <w:p w:rsidR="00C60262" w:rsidRPr="006150BF" w:rsidRDefault="00917A50" w:rsidP="00917A50">
      <w:pPr>
        <w:pStyle w:val="Style1"/>
      </w:pPr>
      <w:bookmarkStart w:id="10" w:name="_Toc524602870"/>
      <w:r>
        <w:lastRenderedPageBreak/>
        <w:t>DEFINIR UNE STRATEGIE DE</w:t>
      </w:r>
      <w:r w:rsidR="00C60262" w:rsidRPr="006150BF">
        <w:t xml:space="preserve"> PHARMACIE CLINIQUE</w:t>
      </w:r>
      <w:bookmarkEnd w:id="10"/>
    </w:p>
    <w:p w:rsidR="00C60262" w:rsidRDefault="00C60262" w:rsidP="00300B58">
      <w:pPr>
        <w:spacing w:after="0"/>
        <w:rPr>
          <w:b/>
          <w:color w:val="034EA2"/>
          <w:u w:val="single"/>
        </w:rPr>
      </w:pPr>
    </w:p>
    <w:p w:rsidR="00C60262" w:rsidRDefault="00C60262" w:rsidP="00300B58">
      <w:pPr>
        <w:spacing w:after="0"/>
        <w:rPr>
          <w:b/>
          <w:color w:val="034EA2"/>
          <w:u w:val="single"/>
        </w:rPr>
      </w:pPr>
    </w:p>
    <w:p w:rsidR="00B55ED6" w:rsidRDefault="00B55ED6" w:rsidP="00746642">
      <w:pPr>
        <w:pStyle w:val="Style2"/>
        <w:numPr>
          <w:ilvl w:val="0"/>
          <w:numId w:val="2"/>
        </w:numPr>
      </w:pPr>
      <w:bookmarkStart w:id="11" w:name="_Toc524602871"/>
      <w:r>
        <w:t>Définition des objectifs et validation de la stratégie</w:t>
      </w:r>
      <w:bookmarkEnd w:id="11"/>
    </w:p>
    <w:p w:rsidR="007963F8" w:rsidRPr="00B30939" w:rsidRDefault="004F0C36" w:rsidP="00860A22">
      <w:r w:rsidRPr="004F0C36">
        <w:t>La stratégie doit être définie à partir d’une analyse des risques</w:t>
      </w:r>
      <w:r>
        <w:t xml:space="preserve">. </w:t>
      </w:r>
      <w:r w:rsidR="007963F8" w:rsidRPr="00B30939">
        <w:t xml:space="preserve">Cette analyse de risque permet de </w:t>
      </w:r>
      <w:r w:rsidR="00626A63">
        <w:t>repérer</w:t>
      </w:r>
      <w:r w:rsidR="006B1FAB" w:rsidRPr="00B30939">
        <w:t xml:space="preserve"> </w:t>
      </w:r>
      <w:r w:rsidR="007963F8" w:rsidRPr="00B30939">
        <w:t>les patients pour lesquels une activité de pharmacie clinique sera la plus bénéfique.</w:t>
      </w:r>
    </w:p>
    <w:p w:rsidR="00A250F3" w:rsidRDefault="00F75527" w:rsidP="00860A22">
      <w:r>
        <w:t>I</w:t>
      </w:r>
      <w:r w:rsidR="004F0C36">
        <w:t xml:space="preserve">l est recommandé de </w:t>
      </w:r>
      <w:r w:rsidR="006B1FAB">
        <w:t>s’appuyer sur</w:t>
      </w:r>
      <w:r w:rsidR="004F0C36">
        <w:t xml:space="preserve"> </w:t>
      </w:r>
      <w:r>
        <w:t>une analyse des risques partagée</w:t>
      </w:r>
      <w:r w:rsidR="004F0C36">
        <w:t xml:space="preserve"> (médecins, pharmaciens, cadre</w:t>
      </w:r>
      <w:r w:rsidR="002A79D4">
        <w:t>s de santé</w:t>
      </w:r>
      <w:r w:rsidR="004F0C36">
        <w:t>, RSMQ…).</w:t>
      </w:r>
    </w:p>
    <w:p w:rsidR="004F0C36" w:rsidRDefault="00A250F3" w:rsidP="00B30939">
      <w:pPr>
        <w:pStyle w:val="Sous-titre"/>
      </w:pPr>
      <w:r w:rsidRPr="00B30939">
        <w:t>Exemple : patients et médicaments à risque définis par un groupe pluridisciplina</w:t>
      </w:r>
      <w:r w:rsidR="004D7AFD" w:rsidRPr="00B30939">
        <w:t>ire, sous-commission de la CME.</w:t>
      </w:r>
    </w:p>
    <w:p w:rsidR="00FE4C72" w:rsidRDefault="00FE4C72" w:rsidP="00FE4C72">
      <w:r>
        <w:t>L’analyse des risques doit prendre en compte les besoins :</w:t>
      </w:r>
    </w:p>
    <w:p w:rsidR="00FE4C72" w:rsidRPr="00FE4C72" w:rsidRDefault="00FE4C72" w:rsidP="00FE4C72">
      <w:pPr>
        <w:pStyle w:val="Paragraphe"/>
        <w:numPr>
          <w:ilvl w:val="0"/>
          <w:numId w:val="5"/>
        </w:numPr>
      </w:pPr>
      <w:r w:rsidRPr="00FE4C72">
        <w:t>Des patients</w:t>
      </w:r>
      <w:r>
        <w:t xml:space="preserve"> et de leurs proches/aidants</w:t>
      </w:r>
    </w:p>
    <w:p w:rsidR="00FE4C72" w:rsidRPr="00FE4C72" w:rsidRDefault="00FE4C72" w:rsidP="00FE4C72">
      <w:pPr>
        <w:pStyle w:val="Paragraphe"/>
        <w:numPr>
          <w:ilvl w:val="0"/>
          <w:numId w:val="5"/>
        </w:numPr>
      </w:pPr>
      <w:r w:rsidRPr="00FE4C72">
        <w:t>Des professionnels de santé de l’établissement</w:t>
      </w:r>
      <w:r>
        <w:t xml:space="preserve"> et en dehors de l’établissement (autres structures de soins, ville)</w:t>
      </w:r>
    </w:p>
    <w:p w:rsidR="00FE4C72" w:rsidRPr="00FE4C72" w:rsidRDefault="00FE4C72" w:rsidP="00FE4C72">
      <w:pPr>
        <w:pStyle w:val="Paragraphe"/>
        <w:numPr>
          <w:ilvl w:val="0"/>
          <w:numId w:val="5"/>
        </w:numPr>
      </w:pPr>
      <w:r w:rsidRPr="00FE4C72">
        <w:t>De l’institution, des directions (direction générale, direction des soins infirmiers, directions des services informatiques, direction financière), des pôles, des services, des unités de soins</w:t>
      </w:r>
    </w:p>
    <w:p w:rsidR="00FE4C72" w:rsidRPr="00FE4C72" w:rsidRDefault="00FE4C72" w:rsidP="00FE4C72">
      <w:pPr>
        <w:pStyle w:val="Paragraphe"/>
        <w:numPr>
          <w:ilvl w:val="0"/>
          <w:numId w:val="5"/>
        </w:numPr>
      </w:pPr>
      <w:r w:rsidRPr="00FE4C72">
        <w:t xml:space="preserve">Des groupements hospitaliers de territoire (GHT) éventuels </w:t>
      </w:r>
    </w:p>
    <w:p w:rsidR="00FE4C72" w:rsidRDefault="00FE4C72" w:rsidP="00FE4C72">
      <w:pPr>
        <w:pStyle w:val="Paragraphe"/>
        <w:numPr>
          <w:ilvl w:val="0"/>
          <w:numId w:val="5"/>
        </w:numPr>
      </w:pPr>
      <w:r w:rsidRPr="00FE4C72">
        <w:t>De la gouvernance (ARS, assurance maladie)</w:t>
      </w:r>
    </w:p>
    <w:p w:rsidR="00FE4C72" w:rsidRDefault="00FE4C72" w:rsidP="00FE4C72">
      <w:pPr>
        <w:pStyle w:val="Sous-titre"/>
      </w:pPr>
      <w:r>
        <w:t>Exemple de formalisation de la vision stratégique au sein d’un établissement :</w:t>
      </w:r>
    </w:p>
    <w:tbl>
      <w:tblPr>
        <w:tblStyle w:val="Grilledutableau"/>
        <w:tblW w:w="0" w:type="auto"/>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2959"/>
        <w:gridCol w:w="3083"/>
        <w:gridCol w:w="3246"/>
      </w:tblGrid>
      <w:tr w:rsidR="006D2CD1" w:rsidRPr="006D2CD1" w:rsidTr="006D2CD1">
        <w:tc>
          <w:tcPr>
            <w:tcW w:w="3085" w:type="dxa"/>
          </w:tcPr>
          <w:p w:rsidR="00FE4C72" w:rsidRPr="006D2CD1" w:rsidRDefault="00FE4C72" w:rsidP="006D2CD1">
            <w:pPr>
              <w:autoSpaceDE w:val="0"/>
              <w:autoSpaceDN w:val="0"/>
              <w:adjustRightInd w:val="0"/>
              <w:spacing w:line="240" w:lineRule="auto"/>
              <w:jc w:val="center"/>
              <w:rPr>
                <w:rFonts w:asciiTheme="minorHAnsi" w:hAnsiTheme="minorHAnsi"/>
                <w:i/>
                <w:color w:val="4F81BD" w:themeColor="accent1"/>
              </w:rPr>
            </w:pPr>
            <w:r w:rsidRPr="006D2CD1">
              <w:rPr>
                <w:rFonts w:asciiTheme="minorHAnsi" w:hAnsiTheme="minorHAnsi"/>
                <w:i/>
                <w:color w:val="4F81BD" w:themeColor="accent1"/>
              </w:rPr>
              <w:t>PATIENT</w:t>
            </w:r>
          </w:p>
        </w:tc>
        <w:tc>
          <w:tcPr>
            <w:tcW w:w="3260" w:type="dxa"/>
          </w:tcPr>
          <w:p w:rsidR="00FE4C72" w:rsidRPr="006D2CD1" w:rsidRDefault="00FE4C72" w:rsidP="006D2CD1">
            <w:pPr>
              <w:pStyle w:val="Default"/>
              <w:jc w:val="center"/>
              <w:rPr>
                <w:rFonts w:asciiTheme="minorHAnsi" w:hAnsiTheme="minorHAnsi" w:cs="Times New Roman"/>
                <w:i/>
                <w:color w:val="4F81BD" w:themeColor="accent1"/>
                <w:sz w:val="22"/>
                <w:szCs w:val="22"/>
              </w:rPr>
            </w:pPr>
            <w:r w:rsidRPr="006D2CD1">
              <w:rPr>
                <w:rFonts w:asciiTheme="minorHAnsi" w:hAnsiTheme="minorHAnsi" w:cs="Times New Roman"/>
                <w:i/>
                <w:color w:val="4F81BD" w:themeColor="accent1"/>
                <w:sz w:val="22"/>
                <w:szCs w:val="22"/>
              </w:rPr>
              <w:t>INSTITUTION</w:t>
            </w:r>
          </w:p>
        </w:tc>
        <w:tc>
          <w:tcPr>
            <w:tcW w:w="3402" w:type="dxa"/>
          </w:tcPr>
          <w:p w:rsidR="00FE4C72" w:rsidRPr="006D2CD1" w:rsidRDefault="00FE4C72" w:rsidP="006D2CD1">
            <w:pPr>
              <w:spacing w:line="240" w:lineRule="auto"/>
              <w:jc w:val="center"/>
              <w:rPr>
                <w:rFonts w:asciiTheme="minorHAnsi" w:hAnsiTheme="minorHAnsi"/>
                <w:i/>
                <w:color w:val="4F81BD" w:themeColor="accent1"/>
                <w:u w:val="single"/>
              </w:rPr>
            </w:pPr>
            <w:r w:rsidRPr="006D2CD1">
              <w:rPr>
                <w:rFonts w:asciiTheme="minorHAnsi" w:hAnsiTheme="minorHAnsi"/>
                <w:i/>
                <w:color w:val="4F81BD" w:themeColor="accent1"/>
              </w:rPr>
              <w:t>AUTRES EQUIPES DE SOINS</w:t>
            </w:r>
          </w:p>
        </w:tc>
      </w:tr>
      <w:tr w:rsidR="006D2CD1" w:rsidRPr="006D2CD1" w:rsidTr="006D2CD1">
        <w:tc>
          <w:tcPr>
            <w:tcW w:w="9747" w:type="dxa"/>
            <w:gridSpan w:val="3"/>
          </w:tcPr>
          <w:p w:rsidR="00FE4C72" w:rsidRPr="006D2CD1" w:rsidRDefault="00FE4C72" w:rsidP="00C92717">
            <w:pPr>
              <w:spacing w:after="0" w:line="240" w:lineRule="auto"/>
              <w:jc w:val="center"/>
              <w:rPr>
                <w:rFonts w:asciiTheme="minorHAnsi" w:hAnsiTheme="minorHAnsi"/>
                <w:i/>
                <w:color w:val="4F81BD" w:themeColor="accent1"/>
              </w:rPr>
            </w:pPr>
            <w:r w:rsidRPr="006D2CD1">
              <w:rPr>
                <w:rFonts w:asciiTheme="minorHAnsi" w:hAnsiTheme="minorHAnsi"/>
                <w:i/>
                <w:color w:val="4F81BD" w:themeColor="accent1"/>
              </w:rPr>
              <w:t>Assurer des soins pharmaceutiques de qualité et participer à la prévention des événements iatrogènes</w:t>
            </w:r>
          </w:p>
        </w:tc>
      </w:tr>
      <w:tr w:rsidR="006D2CD1" w:rsidRPr="006D2CD1" w:rsidTr="006D2CD1">
        <w:tc>
          <w:tcPr>
            <w:tcW w:w="3085" w:type="dxa"/>
          </w:tcPr>
          <w:p w:rsidR="00FE4C72" w:rsidRPr="00986060" w:rsidRDefault="00FE4C72" w:rsidP="00986060">
            <w:pPr>
              <w:autoSpaceDE w:val="0"/>
              <w:autoSpaceDN w:val="0"/>
              <w:adjustRightInd w:val="0"/>
              <w:spacing w:line="240" w:lineRule="auto"/>
              <w:jc w:val="center"/>
              <w:rPr>
                <w:rFonts w:asciiTheme="minorHAnsi" w:hAnsiTheme="minorHAnsi"/>
                <w:i/>
                <w:color w:val="4F81BD" w:themeColor="accent1"/>
              </w:rPr>
            </w:pPr>
            <w:r w:rsidRPr="006D2CD1">
              <w:rPr>
                <w:rFonts w:asciiTheme="minorHAnsi" w:hAnsiTheme="minorHAnsi"/>
                <w:i/>
                <w:color w:val="4F81BD" w:themeColor="accent1"/>
              </w:rPr>
              <w:t>Garantir la qualité de la prise en charge médicamenteuse</w:t>
            </w:r>
            <w:r w:rsidR="00986060">
              <w:rPr>
                <w:rFonts w:asciiTheme="minorHAnsi" w:hAnsiTheme="minorHAnsi"/>
                <w:i/>
                <w:color w:val="4F81BD" w:themeColor="accent1"/>
              </w:rPr>
              <w:t xml:space="preserve"> </w:t>
            </w:r>
            <w:r w:rsidRPr="006D2CD1">
              <w:rPr>
                <w:rFonts w:asciiTheme="minorHAnsi" w:hAnsiTheme="minorHAnsi"/>
                <w:i/>
                <w:color w:val="4F81BD" w:themeColor="accent1"/>
              </w:rPr>
              <w:t>et la satisfaction du patient</w:t>
            </w:r>
          </w:p>
        </w:tc>
        <w:tc>
          <w:tcPr>
            <w:tcW w:w="3260" w:type="dxa"/>
          </w:tcPr>
          <w:p w:rsidR="00FE4C72" w:rsidRPr="006D2CD1" w:rsidRDefault="00FE4C72" w:rsidP="006D2CD1">
            <w:pPr>
              <w:spacing w:line="240" w:lineRule="auto"/>
              <w:jc w:val="center"/>
              <w:rPr>
                <w:rFonts w:asciiTheme="minorHAnsi" w:hAnsiTheme="minorHAnsi"/>
                <w:i/>
                <w:color w:val="4F81BD" w:themeColor="accent1"/>
                <w:u w:val="single"/>
              </w:rPr>
            </w:pPr>
            <w:r w:rsidRPr="006D2CD1">
              <w:rPr>
                <w:rFonts w:asciiTheme="minorHAnsi" w:hAnsiTheme="minorHAnsi"/>
                <w:i/>
                <w:color w:val="4F81BD" w:themeColor="accent1"/>
              </w:rPr>
              <w:t>Garantir une optimisation des ressources</w:t>
            </w:r>
          </w:p>
        </w:tc>
        <w:tc>
          <w:tcPr>
            <w:tcW w:w="3402" w:type="dxa"/>
          </w:tcPr>
          <w:p w:rsidR="00FE4C72" w:rsidRPr="006D2CD1" w:rsidRDefault="00FE4C72" w:rsidP="00986060">
            <w:pPr>
              <w:spacing w:line="240" w:lineRule="auto"/>
              <w:jc w:val="center"/>
              <w:rPr>
                <w:rFonts w:asciiTheme="minorHAnsi" w:hAnsiTheme="minorHAnsi"/>
                <w:i/>
                <w:color w:val="4F81BD" w:themeColor="accent1"/>
                <w:u w:val="single"/>
              </w:rPr>
            </w:pPr>
            <w:r w:rsidRPr="006D2CD1">
              <w:rPr>
                <w:rFonts w:asciiTheme="minorHAnsi" w:hAnsiTheme="minorHAnsi"/>
                <w:i/>
                <w:color w:val="4F81BD" w:themeColor="accent1"/>
              </w:rPr>
              <w:t xml:space="preserve">Assurer des </w:t>
            </w:r>
            <w:r w:rsidR="00986060">
              <w:rPr>
                <w:rFonts w:asciiTheme="minorHAnsi" w:hAnsiTheme="minorHAnsi"/>
                <w:i/>
                <w:color w:val="4F81BD" w:themeColor="accent1"/>
              </w:rPr>
              <w:t>s</w:t>
            </w:r>
            <w:r w:rsidRPr="006D2CD1">
              <w:rPr>
                <w:rFonts w:asciiTheme="minorHAnsi" w:hAnsiTheme="minorHAnsi"/>
                <w:i/>
                <w:color w:val="4F81BD" w:themeColor="accent1"/>
              </w:rPr>
              <w:t>oins intégrés en équipe multidisciplinaire avec la participation active du pharmacien clinicien au service du patient</w:t>
            </w:r>
          </w:p>
        </w:tc>
      </w:tr>
    </w:tbl>
    <w:p w:rsidR="00B55ED6" w:rsidRDefault="004F0C36" w:rsidP="00C92717">
      <w:pPr>
        <w:spacing w:before="240"/>
      </w:pPr>
      <w:r w:rsidRPr="00B30939">
        <w:rPr>
          <w:b/>
        </w:rPr>
        <w:t xml:space="preserve">La stratégie </w:t>
      </w:r>
      <w:r w:rsidR="00F75527">
        <w:rPr>
          <w:b/>
        </w:rPr>
        <w:t>est</w:t>
      </w:r>
      <w:r w:rsidR="00B55ED6" w:rsidRPr="00B30939">
        <w:rPr>
          <w:b/>
        </w:rPr>
        <w:t xml:space="preserve"> formalisée, validée et évolutive</w:t>
      </w:r>
      <w:r>
        <w:rPr>
          <w:b/>
        </w:rPr>
        <w:t>,</w:t>
      </w:r>
      <w:r w:rsidR="00B55ED6">
        <w:t> </w:t>
      </w:r>
      <w:r w:rsidR="00B55ED6" w:rsidRPr="00255C2E">
        <w:t>afin de s’adapter aux problématiques, aux moyens disponibles…</w:t>
      </w:r>
      <w:r w:rsidR="00B55ED6">
        <w:t xml:space="preserve"> </w:t>
      </w:r>
    </w:p>
    <w:p w:rsidR="00B55ED6" w:rsidRDefault="00B55ED6" w:rsidP="00746642">
      <w:pPr>
        <w:pStyle w:val="Paragraphe"/>
        <w:numPr>
          <w:ilvl w:val="0"/>
          <w:numId w:val="5"/>
        </w:numPr>
      </w:pPr>
      <w:r w:rsidRPr="00B30939">
        <w:rPr>
          <w:b/>
        </w:rPr>
        <w:t>Définir les objectifs actuels</w:t>
      </w:r>
      <w:r>
        <w:t>, en fonction des risques jugés prioritaires dans l’établissement, à la hauteur des ressources disponibles = ce que je peux faire</w:t>
      </w:r>
    </w:p>
    <w:p w:rsidR="00C92717" w:rsidRPr="00D92F10" w:rsidRDefault="00B55ED6" w:rsidP="00C92717">
      <w:pPr>
        <w:pStyle w:val="Paragraphe"/>
        <w:numPr>
          <w:ilvl w:val="0"/>
          <w:numId w:val="5"/>
        </w:numPr>
      </w:pPr>
      <w:r w:rsidRPr="00B30939">
        <w:rPr>
          <w:b/>
        </w:rPr>
        <w:t>Définir les objectifs à venir</w:t>
      </w:r>
      <w:r>
        <w:t xml:space="preserve"> et leurs échéances en fonction de l’ensemble des risques identifiés, de l’évolution des organisations, des ressources = ce que j’aimerais faire</w:t>
      </w:r>
    </w:p>
    <w:p w:rsidR="00D92F10" w:rsidRPr="007067C4" w:rsidRDefault="00D92F10" w:rsidP="00C92717">
      <w:pPr>
        <w:pStyle w:val="Citation"/>
        <w:spacing w:line="240" w:lineRule="auto"/>
      </w:pPr>
      <w:r w:rsidRPr="00F5000C">
        <w:sym w:font="Wingdings" w:char="F024"/>
      </w:r>
      <w:r>
        <w:t xml:space="preserve"> Chaque objectif doi</w:t>
      </w:r>
      <w:r w:rsidRPr="007067C4">
        <w:t>t répondre aux critères « SMART » :</w:t>
      </w:r>
    </w:p>
    <w:p w:rsidR="00D92F10" w:rsidRPr="007A688A" w:rsidRDefault="00D92F10" w:rsidP="00C92717">
      <w:pPr>
        <w:pStyle w:val="Citation"/>
        <w:spacing w:before="0" w:after="0" w:line="240" w:lineRule="auto"/>
        <w:jc w:val="left"/>
      </w:pPr>
      <w:r w:rsidRPr="007067C4">
        <w:rPr>
          <w:b/>
        </w:rPr>
        <w:t>-</w:t>
      </w:r>
      <w:r>
        <w:rPr>
          <w:b/>
        </w:rPr>
        <w:t xml:space="preserve"> </w:t>
      </w:r>
      <w:r w:rsidRPr="007067C4">
        <w:rPr>
          <w:b/>
        </w:rPr>
        <w:t>S</w:t>
      </w:r>
      <w:r w:rsidRPr="007A688A">
        <w:t xml:space="preserve">pécifique </w:t>
      </w:r>
    </w:p>
    <w:p w:rsidR="00D92F10" w:rsidRPr="007A688A" w:rsidRDefault="00D92F10" w:rsidP="00C92717">
      <w:pPr>
        <w:pStyle w:val="Citation"/>
        <w:spacing w:before="0" w:after="0" w:line="240" w:lineRule="auto"/>
        <w:jc w:val="left"/>
      </w:pPr>
      <w:r>
        <w:rPr>
          <w:b/>
        </w:rPr>
        <w:t xml:space="preserve">- </w:t>
      </w:r>
      <w:r w:rsidRPr="007067C4">
        <w:rPr>
          <w:b/>
        </w:rPr>
        <w:t>M</w:t>
      </w:r>
      <w:r w:rsidRPr="007A688A">
        <w:t xml:space="preserve">esurable </w:t>
      </w:r>
    </w:p>
    <w:p w:rsidR="00D92F10" w:rsidRPr="007A688A" w:rsidRDefault="00D92F10" w:rsidP="00C92717">
      <w:pPr>
        <w:pStyle w:val="Citation"/>
        <w:spacing w:before="0" w:after="0" w:line="240" w:lineRule="auto"/>
        <w:jc w:val="left"/>
      </w:pPr>
      <w:r>
        <w:rPr>
          <w:b/>
        </w:rPr>
        <w:t xml:space="preserve">- </w:t>
      </w:r>
      <w:r w:rsidRPr="007067C4">
        <w:rPr>
          <w:b/>
        </w:rPr>
        <w:t>A</w:t>
      </w:r>
      <w:r w:rsidRPr="007A688A">
        <w:t xml:space="preserve">tteignable </w:t>
      </w:r>
    </w:p>
    <w:p w:rsidR="00D92F10" w:rsidRPr="007A688A" w:rsidRDefault="00D92F10" w:rsidP="00C92717">
      <w:pPr>
        <w:pStyle w:val="Citation"/>
        <w:spacing w:before="0" w:after="0" w:line="240" w:lineRule="auto"/>
        <w:jc w:val="left"/>
      </w:pPr>
      <w:r>
        <w:rPr>
          <w:b/>
        </w:rPr>
        <w:t xml:space="preserve">- </w:t>
      </w:r>
      <w:r w:rsidRPr="007067C4">
        <w:rPr>
          <w:b/>
        </w:rPr>
        <w:t>R</w:t>
      </w:r>
      <w:r w:rsidRPr="007A688A">
        <w:t>éaliste</w:t>
      </w:r>
    </w:p>
    <w:p w:rsidR="00D92F10" w:rsidRDefault="00D92F10" w:rsidP="00C92717">
      <w:pPr>
        <w:pStyle w:val="Citation"/>
        <w:spacing w:before="0" w:after="0" w:line="240" w:lineRule="auto"/>
        <w:jc w:val="left"/>
      </w:pPr>
      <w:r>
        <w:rPr>
          <w:b/>
        </w:rPr>
        <w:t xml:space="preserve">- </w:t>
      </w:r>
      <w:r w:rsidRPr="007067C4">
        <w:rPr>
          <w:b/>
        </w:rPr>
        <w:t>T</w:t>
      </w:r>
      <w:r w:rsidR="00C92717">
        <w:t>emporellement défini</w:t>
      </w:r>
    </w:p>
    <w:p w:rsidR="00B55ED6" w:rsidRPr="00B30939" w:rsidRDefault="00B55ED6" w:rsidP="00CE29E1">
      <w:pPr>
        <w:pStyle w:val="Citation"/>
      </w:pPr>
      <w:r w:rsidRPr="00B30939">
        <w:lastRenderedPageBreak/>
        <w:sym w:font="Wingdings" w:char="F024"/>
      </w:r>
      <w:r w:rsidRPr="00B30939">
        <w:t xml:space="preserve"> </w:t>
      </w:r>
      <w:r w:rsidR="00953D42" w:rsidRPr="00B30939">
        <w:t>L’</w:t>
      </w:r>
      <w:r w:rsidRPr="00B30939">
        <w:t>analyse des risques</w:t>
      </w:r>
      <w:r w:rsidR="00F75527">
        <w:t xml:space="preserve"> (</w:t>
      </w:r>
      <w:r w:rsidR="00F75527" w:rsidRPr="00F75527">
        <w:rPr>
          <w:i/>
        </w:rPr>
        <w:t>a priori</w:t>
      </w:r>
      <w:r w:rsidR="00F75527">
        <w:t xml:space="preserve"> et/ou </w:t>
      </w:r>
      <w:r w:rsidR="00F75527" w:rsidRPr="00F75527">
        <w:rPr>
          <w:i/>
        </w:rPr>
        <w:t>a</w:t>
      </w:r>
      <w:r w:rsidR="00FE4C72" w:rsidRPr="00F75527">
        <w:rPr>
          <w:i/>
        </w:rPr>
        <w:t xml:space="preserve"> posteriori</w:t>
      </w:r>
      <w:r w:rsidR="00FE4C72">
        <w:t>)</w:t>
      </w:r>
      <w:r w:rsidRPr="00B30939">
        <w:t xml:space="preserve"> est réalisée dans les établissements de santé, à l’occasion de la certification HAS, d’un travail autour de la sécurisation du circuit du médicament en lien avec l’arrêté du 6 avril</w:t>
      </w:r>
      <w:r w:rsidR="00986060">
        <w:t xml:space="preserve"> 2011,</w:t>
      </w:r>
      <w:r w:rsidR="00B30939">
        <w:t xml:space="preserve"> </w:t>
      </w:r>
      <w:r w:rsidRPr="00B30939">
        <w:t>lors de l’analyse des événements indésirables</w:t>
      </w:r>
      <w:r w:rsidR="00986060">
        <w:t>,</w:t>
      </w:r>
      <w:r w:rsidRPr="00B30939">
        <w:t xml:space="preserve"> etc. Il n’est donc pas nécessaire d’en </w:t>
      </w:r>
      <w:r w:rsidRPr="00CE29E1">
        <w:t>refaire</w:t>
      </w:r>
      <w:r w:rsidRPr="00B30939">
        <w:t xml:space="preserve"> une.</w:t>
      </w:r>
    </w:p>
    <w:p w:rsidR="004F0C36" w:rsidRPr="004D7AFD" w:rsidRDefault="004D7AFD" w:rsidP="004F0C36">
      <w:r>
        <w:t>L’</w:t>
      </w:r>
      <w:r w:rsidR="004F0C36" w:rsidRPr="004D7AFD">
        <w:t>analyse des risques permet d’identifier :</w:t>
      </w:r>
    </w:p>
    <w:p w:rsidR="004F0C36" w:rsidRPr="004D7AFD" w:rsidRDefault="004F0C36" w:rsidP="00746642">
      <w:pPr>
        <w:pStyle w:val="Paragraphe"/>
        <w:numPr>
          <w:ilvl w:val="0"/>
          <w:numId w:val="5"/>
        </w:numPr>
      </w:pPr>
      <w:r w:rsidRPr="004D7AFD">
        <w:t>les médicaments à risque (MAR)</w:t>
      </w:r>
    </w:p>
    <w:p w:rsidR="004F0C36" w:rsidRPr="004D7AFD" w:rsidRDefault="004F0C36" w:rsidP="00746642">
      <w:pPr>
        <w:pStyle w:val="Paragraphe"/>
        <w:numPr>
          <w:ilvl w:val="0"/>
          <w:numId w:val="5"/>
        </w:numPr>
      </w:pPr>
      <w:r w:rsidRPr="004D7AFD">
        <w:t>les populations à risque (PAR)</w:t>
      </w:r>
    </w:p>
    <w:p w:rsidR="00B55ED6" w:rsidRPr="004D7AFD" w:rsidRDefault="004F0C36" w:rsidP="00746642">
      <w:pPr>
        <w:pStyle w:val="Paragraphe"/>
        <w:numPr>
          <w:ilvl w:val="0"/>
          <w:numId w:val="5"/>
        </w:numPr>
      </w:pPr>
      <w:r w:rsidRPr="004D7AFD">
        <w:t>les organisations à risque (OAR)</w:t>
      </w:r>
    </w:p>
    <w:p w:rsidR="00B55ED6" w:rsidRDefault="00B55ED6" w:rsidP="00B30939">
      <w:pPr>
        <w:pStyle w:val="Citation"/>
      </w:pPr>
      <w:r w:rsidRPr="00F5000C">
        <w:sym w:font="Wingdings" w:char="F024"/>
      </w:r>
      <w:r>
        <w:t xml:space="preserve"> </w:t>
      </w:r>
      <w:r w:rsidRPr="00835E1A">
        <w:t>P</w:t>
      </w:r>
      <w:r w:rsidR="00A250F3">
        <w:t>enser à p</w:t>
      </w:r>
      <w:r w:rsidRPr="00835E1A">
        <w:t>rendre en compte le retour d’expérience</w:t>
      </w:r>
    </w:p>
    <w:p w:rsidR="00B55ED6" w:rsidRPr="004D7AFD" w:rsidRDefault="00D03C87" w:rsidP="00B30939">
      <w:pPr>
        <w:pStyle w:val="Sous-titre"/>
      </w:pPr>
      <w:r w:rsidRPr="004D7AFD">
        <w:t>Exemple</w:t>
      </w:r>
      <w:r w:rsidR="00B55ED6" w:rsidRPr="004D7AFD">
        <w:t> : analyse des interventions pharmaceutiques faites sur l’année précédente -&gt; quels médicaments</w:t>
      </w:r>
      <w:r w:rsidR="00B30939">
        <w:t xml:space="preserve"> sont</w:t>
      </w:r>
      <w:r w:rsidR="00B55ED6" w:rsidRPr="004D7AFD">
        <w:t xml:space="preserve"> les plus concernés ?</w:t>
      </w:r>
    </w:p>
    <w:p w:rsidR="00B55ED6" w:rsidRPr="00C95F83" w:rsidRDefault="00B55ED6" w:rsidP="00B30939">
      <w:pPr>
        <w:pStyle w:val="Citation"/>
      </w:pPr>
      <w:r w:rsidRPr="00F5000C">
        <w:sym w:font="Wingdings" w:char="F024"/>
      </w:r>
      <w:r w:rsidR="008D6E92">
        <w:t xml:space="preserve"> Penser</w:t>
      </w:r>
      <w:r>
        <w:t xml:space="preserve"> </w:t>
      </w:r>
      <w:r w:rsidR="008D6E92">
        <w:t>à p</w:t>
      </w:r>
      <w:r w:rsidRPr="00C95F83">
        <w:t>rendre en compte</w:t>
      </w:r>
      <w:r w:rsidR="008D6E92">
        <w:t xml:space="preserve"> les données médico-économiques disponibles (dont les</w:t>
      </w:r>
      <w:r w:rsidRPr="00C95F83">
        <w:t xml:space="preserve"> </w:t>
      </w:r>
      <w:r>
        <w:t>facteurs de risque</w:t>
      </w:r>
      <w:r w:rsidR="00986060">
        <w:t xml:space="preserve"> probables de </w:t>
      </w:r>
      <w:r w:rsidRPr="00C95F83">
        <w:t>iatrogénie médicamenteuse</w:t>
      </w:r>
      <w:r w:rsidR="008D6E92">
        <w:t>)</w:t>
      </w:r>
    </w:p>
    <w:p w:rsidR="00B55ED6" w:rsidRPr="004F0C36" w:rsidRDefault="00B55ED6" w:rsidP="00B30939">
      <w:pPr>
        <w:pStyle w:val="Sous-titre"/>
      </w:pPr>
      <w:r w:rsidRPr="00C95F83">
        <w:t>Exemple : Analyse des données PMSI</w:t>
      </w:r>
      <w:r>
        <w:t xml:space="preserve"> (taux de passages aux urgences de patients âgés de plus de 75 ans)</w:t>
      </w:r>
      <w:r w:rsidRPr="00C95F83">
        <w:t xml:space="preserve">, des données biologiques </w:t>
      </w:r>
      <w:r>
        <w:t xml:space="preserve">(avec fonction rénale altérée) </w:t>
      </w:r>
      <w:r w:rsidRPr="00C95F83">
        <w:t xml:space="preserve">et des consommations de médicaments </w:t>
      </w:r>
      <w:r>
        <w:t>(plus de 5 lignes de traitement) -&gt; estimation d’une population à risque</w:t>
      </w:r>
    </w:p>
    <w:p w:rsidR="007963F8" w:rsidRPr="004D7AFD" w:rsidRDefault="007963F8" w:rsidP="00B30939">
      <w:pPr>
        <w:pStyle w:val="Citation"/>
      </w:pPr>
      <w:r w:rsidRPr="00F5000C">
        <w:sym w:font="Wingdings" w:char="F024"/>
      </w:r>
      <w:r>
        <w:t xml:space="preserve"> Prendre en compte les éventuelles demandes ou sollicitations des pôles ou unités de soins de l’établissement (service(s) « ami(s) »)</w:t>
      </w:r>
    </w:p>
    <w:p w:rsidR="00C92717" w:rsidRDefault="00C92717" w:rsidP="00B55ED6">
      <w:pPr>
        <w:spacing w:after="0"/>
        <w:rPr>
          <w:b/>
        </w:rPr>
      </w:pPr>
    </w:p>
    <w:p w:rsidR="00B55ED6" w:rsidRDefault="00B55ED6" w:rsidP="00B55ED6">
      <w:pPr>
        <w:spacing w:after="0"/>
        <w:rPr>
          <w:b/>
        </w:rPr>
      </w:pPr>
      <w:r w:rsidRPr="00166840">
        <w:rPr>
          <w:b/>
        </w:rPr>
        <w:t>Ces objectifs doivent être partagés au niveau institutionnel : projet médical, compte qualité/ certification</w:t>
      </w:r>
      <w:r w:rsidR="00953D42">
        <w:rPr>
          <w:b/>
        </w:rPr>
        <w:t>,</w:t>
      </w:r>
      <w:r w:rsidRPr="00166840">
        <w:rPr>
          <w:b/>
        </w:rPr>
        <w:t xml:space="preserve"> et la stratégie doit être incluse dans la politique globale de prise en charge médicamenteuse du patient.</w:t>
      </w:r>
      <w:r w:rsidR="007067C4">
        <w:rPr>
          <w:b/>
        </w:rPr>
        <w:t xml:space="preserve"> </w:t>
      </w:r>
    </w:p>
    <w:p w:rsidR="00B30939" w:rsidRPr="008D6E92" w:rsidRDefault="00B30939" w:rsidP="00B55ED6">
      <w:pPr>
        <w:spacing w:after="0"/>
        <w:rPr>
          <w:b/>
        </w:rPr>
      </w:pPr>
    </w:p>
    <w:p w:rsidR="00D03C87" w:rsidRDefault="00B55ED6" w:rsidP="00B30939">
      <w:pPr>
        <w:pStyle w:val="Sous-titre"/>
      </w:pPr>
      <w:r>
        <w:t>Ex</w:t>
      </w:r>
      <w:r w:rsidR="00D03C87">
        <w:t xml:space="preserve">emples : </w:t>
      </w:r>
    </w:p>
    <w:p w:rsidR="00B55ED6" w:rsidRDefault="00D03C87" w:rsidP="000F5B9F">
      <w:pPr>
        <w:pStyle w:val="Sous-titre"/>
        <w:numPr>
          <w:ilvl w:val="0"/>
          <w:numId w:val="5"/>
        </w:numPr>
      </w:pPr>
      <w:r>
        <w:t>P</w:t>
      </w:r>
      <w:r w:rsidR="00B55ED6">
        <w:t>olitique définie en préparation de la certification V2014</w:t>
      </w:r>
    </w:p>
    <w:p w:rsidR="00B55ED6" w:rsidRDefault="00B55ED6" w:rsidP="000F5B9F">
      <w:pPr>
        <w:pStyle w:val="Sous-titre"/>
        <w:numPr>
          <w:ilvl w:val="0"/>
          <w:numId w:val="5"/>
        </w:numPr>
      </w:pPr>
      <w:r>
        <w:t>Stratégie validée par le comité exécutif puis par la CME et portée par un binôme pharmacien/médecin</w:t>
      </w:r>
    </w:p>
    <w:p w:rsidR="00D92F10" w:rsidRDefault="00D92F10" w:rsidP="00D92F10">
      <w:pPr>
        <w:pStyle w:val="Style2"/>
        <w:numPr>
          <w:ilvl w:val="0"/>
          <w:numId w:val="0"/>
        </w:numPr>
        <w:ind w:left="720"/>
      </w:pPr>
    </w:p>
    <w:p w:rsidR="00F5000C" w:rsidRDefault="00F5000C" w:rsidP="00746642">
      <w:pPr>
        <w:pStyle w:val="Style2"/>
        <w:numPr>
          <w:ilvl w:val="0"/>
          <w:numId w:val="2"/>
        </w:numPr>
      </w:pPr>
      <w:bookmarkStart w:id="12" w:name="_Toc524602872"/>
      <w:r>
        <w:t>Définition du périmètre : ciblage et choix des activités</w:t>
      </w:r>
      <w:bookmarkEnd w:id="12"/>
    </w:p>
    <w:p w:rsidR="004F0C36" w:rsidRDefault="004F0C36" w:rsidP="004F0C36">
      <w:pPr>
        <w:spacing w:after="0"/>
      </w:pPr>
      <w:r>
        <w:t>I</w:t>
      </w:r>
      <w:r w:rsidR="00F5000C" w:rsidRPr="00F5000C">
        <w:t>l s’agit d</w:t>
      </w:r>
      <w:r w:rsidR="00C926D2">
        <w:t>onc de définir le périmètre et le type d’</w:t>
      </w:r>
      <w:r w:rsidR="00F5000C" w:rsidRPr="00F5000C">
        <w:t>activités de pharmacie clinique pouvant contribuer à la sécurisation de la</w:t>
      </w:r>
      <w:r>
        <w:t xml:space="preserve"> prise en charge médicamenteuse en fonction :</w:t>
      </w:r>
    </w:p>
    <w:p w:rsidR="004F0C36" w:rsidRDefault="004F0C36" w:rsidP="00746642">
      <w:pPr>
        <w:pStyle w:val="Paragraphedeliste"/>
        <w:numPr>
          <w:ilvl w:val="0"/>
          <w:numId w:val="5"/>
        </w:numPr>
        <w:spacing w:after="0"/>
      </w:pPr>
      <w:r w:rsidRPr="00255C2E">
        <w:t xml:space="preserve">des </w:t>
      </w:r>
      <w:r>
        <w:t>médicaments à risque (MAR)</w:t>
      </w:r>
    </w:p>
    <w:p w:rsidR="004F0C36" w:rsidRDefault="004F0C36" w:rsidP="00746642">
      <w:pPr>
        <w:pStyle w:val="Paragraphedeliste"/>
        <w:numPr>
          <w:ilvl w:val="0"/>
          <w:numId w:val="5"/>
        </w:numPr>
        <w:spacing w:after="0"/>
      </w:pPr>
      <w:r>
        <w:t>des populations à risque (PAR)</w:t>
      </w:r>
    </w:p>
    <w:p w:rsidR="00F5000C" w:rsidRDefault="004F0C36" w:rsidP="00F5000C">
      <w:pPr>
        <w:pStyle w:val="Paragraphedeliste"/>
        <w:numPr>
          <w:ilvl w:val="0"/>
          <w:numId w:val="5"/>
        </w:numPr>
        <w:spacing w:after="0"/>
      </w:pPr>
      <w:r>
        <w:t>des organisations à risque (OAR)</w:t>
      </w:r>
    </w:p>
    <w:p w:rsidR="004D24D7" w:rsidRPr="00634BD2" w:rsidRDefault="004D24D7" w:rsidP="000F5B9F">
      <w:pPr>
        <w:pStyle w:val="Citation"/>
      </w:pPr>
      <w:r w:rsidRPr="00634BD2">
        <w:lastRenderedPageBreak/>
        <w:sym w:font="Wingdings" w:char="F024"/>
      </w:r>
      <w:r w:rsidRPr="00634BD2">
        <w:t xml:space="preserve"> Le périmètre au démarrage d’une activité </w:t>
      </w:r>
      <w:r w:rsidR="00F75527">
        <w:t>fait</w:t>
      </w:r>
      <w:r w:rsidR="002A79D4" w:rsidRPr="00634BD2">
        <w:t xml:space="preserve"> l’objet d’une réflexion au sein du groupe de travail</w:t>
      </w:r>
      <w:r w:rsidRPr="00634BD2">
        <w:t>,</w:t>
      </w:r>
      <w:r w:rsidR="002A79D4" w:rsidRPr="00634BD2">
        <w:t xml:space="preserve"> basée sur des éléments concrets,</w:t>
      </w:r>
      <w:r w:rsidRPr="00634BD2">
        <w:t xml:space="preserve"> de façon à pouvoir répondre aux engagements. Il pourra ensuite </w:t>
      </w:r>
      <w:r w:rsidR="002A79D4" w:rsidRPr="00634BD2">
        <w:t>être revu, notamment</w:t>
      </w:r>
      <w:r w:rsidRPr="00634BD2">
        <w:t xml:space="preserve"> en fonction </w:t>
      </w:r>
      <w:r w:rsidR="002A79D4" w:rsidRPr="00634BD2">
        <w:t>de l’évolution des moyens et des ressources.</w:t>
      </w:r>
    </w:p>
    <w:p w:rsidR="00F5000C" w:rsidRPr="00116F6D" w:rsidRDefault="002639D4" w:rsidP="00116F6D">
      <w:pPr>
        <w:pStyle w:val="Style2"/>
        <w:numPr>
          <w:ilvl w:val="0"/>
          <w:numId w:val="0"/>
        </w:numPr>
        <w:rPr>
          <w:u w:val="none"/>
        </w:rPr>
      </w:pPr>
      <w:bookmarkStart w:id="13" w:name="_Toc522549746"/>
      <w:bookmarkStart w:id="14" w:name="_Toc522624292"/>
      <w:bookmarkStart w:id="15" w:name="_Toc522624356"/>
      <w:bookmarkStart w:id="16" w:name="_Toc524602873"/>
      <w:r w:rsidRPr="00116F6D">
        <w:rPr>
          <w:u w:val="none"/>
        </w:rPr>
        <w:t>« </w:t>
      </w:r>
      <w:r w:rsidR="00F5000C" w:rsidRPr="00116F6D">
        <w:rPr>
          <w:u w:val="none"/>
        </w:rPr>
        <w:t>MAR</w:t>
      </w:r>
      <w:r w:rsidRPr="00116F6D">
        <w:rPr>
          <w:u w:val="none"/>
        </w:rPr>
        <w:t> »</w:t>
      </w:r>
      <w:bookmarkEnd w:id="13"/>
      <w:bookmarkEnd w:id="14"/>
      <w:bookmarkEnd w:id="15"/>
      <w:bookmarkEnd w:id="16"/>
    </w:p>
    <w:p w:rsidR="00F5000C" w:rsidRDefault="00F5000C" w:rsidP="00860A22">
      <w:pPr>
        <w:pStyle w:val="Sous-titre"/>
      </w:pPr>
      <w:r>
        <w:t xml:space="preserve">Exemple : </w:t>
      </w:r>
      <w:r w:rsidR="00F75527">
        <w:t>analyse</w:t>
      </w:r>
      <w:r w:rsidR="00C926D2">
        <w:t xml:space="preserve"> pharmaceutique des prescriptions médicamenteuses de </w:t>
      </w:r>
      <w:r>
        <w:t>tous les patients traités par un anticoagulant oral (AVK, ACOD) dans l’établissement</w:t>
      </w:r>
    </w:p>
    <w:p w:rsidR="00F5000C" w:rsidRPr="00116F6D" w:rsidRDefault="002639D4" w:rsidP="00116F6D">
      <w:pPr>
        <w:pStyle w:val="Style2"/>
        <w:numPr>
          <w:ilvl w:val="0"/>
          <w:numId w:val="0"/>
        </w:numPr>
        <w:rPr>
          <w:u w:val="none"/>
        </w:rPr>
      </w:pPr>
      <w:bookmarkStart w:id="17" w:name="_Toc522549747"/>
      <w:bookmarkStart w:id="18" w:name="_Toc522624293"/>
      <w:bookmarkStart w:id="19" w:name="_Toc522624357"/>
      <w:bookmarkStart w:id="20" w:name="_Toc524602874"/>
      <w:r w:rsidRPr="00116F6D">
        <w:rPr>
          <w:u w:val="none"/>
        </w:rPr>
        <w:t>« </w:t>
      </w:r>
      <w:r w:rsidR="00F5000C" w:rsidRPr="00116F6D">
        <w:rPr>
          <w:u w:val="none"/>
        </w:rPr>
        <w:t>PAR</w:t>
      </w:r>
      <w:r w:rsidRPr="00116F6D">
        <w:rPr>
          <w:u w:val="none"/>
        </w:rPr>
        <w:t> »</w:t>
      </w:r>
      <w:bookmarkEnd w:id="17"/>
      <w:bookmarkEnd w:id="18"/>
      <w:bookmarkEnd w:id="19"/>
      <w:bookmarkEnd w:id="20"/>
      <w:r w:rsidR="00F5000C" w:rsidRPr="00116F6D">
        <w:rPr>
          <w:u w:val="none"/>
        </w:rPr>
        <w:t xml:space="preserve"> </w:t>
      </w:r>
    </w:p>
    <w:p w:rsidR="00116F6D" w:rsidRDefault="00F5000C" w:rsidP="00860A22">
      <w:pPr>
        <w:pStyle w:val="Sous-titre"/>
      </w:pPr>
      <w:r>
        <w:t>Exemple</w:t>
      </w:r>
      <w:r w:rsidR="00116F6D">
        <w:t>s</w:t>
      </w:r>
      <w:r>
        <w:t> :</w:t>
      </w:r>
      <w:r w:rsidR="00116F6D">
        <w:t xml:space="preserve"> </w:t>
      </w:r>
    </w:p>
    <w:p w:rsidR="00C926D2" w:rsidRDefault="00F75527" w:rsidP="00860A22">
      <w:pPr>
        <w:pStyle w:val="Sous-titre"/>
        <w:numPr>
          <w:ilvl w:val="0"/>
          <w:numId w:val="5"/>
        </w:numPr>
      </w:pPr>
      <w:r>
        <w:t>Analyse</w:t>
      </w:r>
      <w:r w:rsidR="00C926D2">
        <w:t xml:space="preserve"> pharmaceutique des prescriptions médicamenteuses de tous les patients âgés de plus de 75  ans et avec une fonction rénale altérée </w:t>
      </w:r>
    </w:p>
    <w:p w:rsidR="000D4399" w:rsidRDefault="00392E9E" w:rsidP="000D4399">
      <w:pPr>
        <w:pStyle w:val="Sous-titre"/>
        <w:numPr>
          <w:ilvl w:val="0"/>
          <w:numId w:val="5"/>
        </w:numPr>
      </w:pPr>
      <w:r>
        <w:t>Patients âgés</w:t>
      </w:r>
      <w:r w:rsidR="000D4399">
        <w:t xml:space="preserve">, </w:t>
      </w:r>
      <w:r>
        <w:t xml:space="preserve">avec un seuil du </w:t>
      </w:r>
      <w:r w:rsidR="000D4399">
        <w:t>nom</w:t>
      </w:r>
      <w:r>
        <w:t>bre de traitements à l’admission</w:t>
      </w:r>
      <w:r w:rsidR="000D4399">
        <w:rPr>
          <w:rStyle w:val="Appelnotedebasdep"/>
        </w:rPr>
        <w:footnoteReference w:id="1"/>
      </w:r>
      <w:r w:rsidRPr="00392E9E">
        <w:rPr>
          <w:vertAlign w:val="superscript"/>
        </w:rPr>
        <w:t>,</w:t>
      </w:r>
      <w:r>
        <w:rPr>
          <w:rStyle w:val="Appelnotedebasdep"/>
        </w:rPr>
        <w:footnoteReference w:id="2"/>
      </w:r>
    </w:p>
    <w:p w:rsidR="000D4399" w:rsidRPr="000D4399" w:rsidRDefault="000D4399" w:rsidP="000D4399">
      <w:pPr>
        <w:pStyle w:val="Sous-titre"/>
        <w:numPr>
          <w:ilvl w:val="0"/>
          <w:numId w:val="5"/>
        </w:numPr>
      </w:pPr>
      <w:r>
        <w:t>Patients avec des critères prédictifs : fréquence de ré-hospitalisation, médicaments à risque é</w:t>
      </w:r>
      <w:r w:rsidR="00392E9E">
        <w:t>levé</w:t>
      </w:r>
      <w:r>
        <w:rPr>
          <w:rStyle w:val="Appelnotedebasdep"/>
        </w:rPr>
        <w:footnoteReference w:id="3"/>
      </w:r>
    </w:p>
    <w:p w:rsidR="00116F6D" w:rsidRDefault="00F75527" w:rsidP="00860A22">
      <w:pPr>
        <w:pStyle w:val="Sous-titre"/>
        <w:numPr>
          <w:ilvl w:val="0"/>
          <w:numId w:val="5"/>
        </w:numPr>
      </w:pPr>
      <w:r>
        <w:t>Analyse</w:t>
      </w:r>
      <w:r w:rsidR="00116F6D">
        <w:t xml:space="preserve"> pharmaceutique des prescriptions des patients ayant un INR</w:t>
      </w:r>
      <w:r w:rsidR="0058184B">
        <w:t xml:space="preserve"> </w:t>
      </w:r>
      <w:r w:rsidR="00116F6D">
        <w:t>&gt; 5 pendant leur séjour</w:t>
      </w:r>
    </w:p>
    <w:p w:rsidR="00C926D2" w:rsidRDefault="00F75527" w:rsidP="00860A22">
      <w:pPr>
        <w:pStyle w:val="Sous-titre"/>
        <w:numPr>
          <w:ilvl w:val="0"/>
          <w:numId w:val="5"/>
        </w:numPr>
      </w:pPr>
      <w:r>
        <w:t>Analyse</w:t>
      </w:r>
      <w:r w:rsidR="00C926D2">
        <w:t xml:space="preserve"> pharmaceutique des prescriptions médicamenteuses de tous les enfants de moins de 2 ans avec plus de 3 lignes de traitement </w:t>
      </w:r>
    </w:p>
    <w:p w:rsidR="002639D4" w:rsidRDefault="00116F6D" w:rsidP="00860A22">
      <w:pPr>
        <w:pStyle w:val="Sous-titre"/>
        <w:numPr>
          <w:ilvl w:val="0"/>
          <w:numId w:val="5"/>
        </w:numPr>
      </w:pPr>
      <w:r>
        <w:t>S</w:t>
      </w:r>
      <w:r w:rsidR="00C926D2">
        <w:t>éances collectives d’éducation thérapeutique pour les patients insuffisants cardiaques</w:t>
      </w:r>
    </w:p>
    <w:p w:rsidR="00F5000C" w:rsidRPr="00116F6D" w:rsidRDefault="002639D4" w:rsidP="00116F6D">
      <w:pPr>
        <w:pStyle w:val="Style2"/>
        <w:numPr>
          <w:ilvl w:val="0"/>
          <w:numId w:val="0"/>
        </w:numPr>
        <w:rPr>
          <w:u w:val="none"/>
        </w:rPr>
      </w:pPr>
      <w:bookmarkStart w:id="21" w:name="_Toc522549748"/>
      <w:bookmarkStart w:id="22" w:name="_Toc522624294"/>
      <w:bookmarkStart w:id="23" w:name="_Toc522624358"/>
      <w:bookmarkStart w:id="24" w:name="_Toc524602875"/>
      <w:r w:rsidRPr="00116F6D">
        <w:rPr>
          <w:u w:val="none"/>
        </w:rPr>
        <w:t>« </w:t>
      </w:r>
      <w:r w:rsidR="00F5000C" w:rsidRPr="00116F6D">
        <w:rPr>
          <w:u w:val="none"/>
        </w:rPr>
        <w:t>OAR</w:t>
      </w:r>
      <w:r w:rsidRPr="00116F6D">
        <w:rPr>
          <w:u w:val="none"/>
        </w:rPr>
        <w:t> »</w:t>
      </w:r>
      <w:bookmarkEnd w:id="21"/>
      <w:bookmarkEnd w:id="22"/>
      <w:bookmarkEnd w:id="23"/>
      <w:bookmarkEnd w:id="24"/>
    </w:p>
    <w:p w:rsidR="00F75527" w:rsidRDefault="00F5000C" w:rsidP="00860A22">
      <w:pPr>
        <w:pStyle w:val="Sous-titre"/>
      </w:pPr>
      <w:r>
        <w:t>Ex</w:t>
      </w:r>
      <w:r w:rsidR="00C926D2">
        <w:t>emple</w:t>
      </w:r>
      <w:r w:rsidR="00F75527">
        <w:t>s</w:t>
      </w:r>
      <w:r w:rsidR="00D03C87">
        <w:t xml:space="preserve"> </w:t>
      </w:r>
      <w:r>
        <w:t>:</w:t>
      </w:r>
    </w:p>
    <w:p w:rsidR="00F5000C" w:rsidRDefault="00F75527" w:rsidP="00F75527">
      <w:pPr>
        <w:pStyle w:val="Sous-titre"/>
        <w:numPr>
          <w:ilvl w:val="0"/>
          <w:numId w:val="5"/>
        </w:numPr>
      </w:pPr>
      <w:r>
        <w:t>C</w:t>
      </w:r>
      <w:r w:rsidR="00C926D2">
        <w:t>onciliation médicamenteuse pour</w:t>
      </w:r>
      <w:r w:rsidR="00F5000C">
        <w:t xml:space="preserve"> tous les patients de chirurgie programmée</w:t>
      </w:r>
    </w:p>
    <w:p w:rsidR="00F75527" w:rsidRPr="00F75527" w:rsidRDefault="00F75527" w:rsidP="00F75527">
      <w:pPr>
        <w:pStyle w:val="Sous-titre"/>
        <w:numPr>
          <w:ilvl w:val="0"/>
          <w:numId w:val="5"/>
        </w:numPr>
      </w:pPr>
      <w:r>
        <w:t>Conciliation médicamenteuse des patients en HAD</w:t>
      </w:r>
    </w:p>
    <w:p w:rsidR="00C926D2" w:rsidRPr="00FC250F" w:rsidRDefault="00FC250F" w:rsidP="000F5B9F">
      <w:pPr>
        <w:pStyle w:val="Citation"/>
      </w:pPr>
      <w:r w:rsidRPr="00F5000C">
        <w:sym w:font="Wingdings" w:char="F024"/>
      </w:r>
      <w:r w:rsidRPr="00F5000C">
        <w:t xml:space="preserve"> </w:t>
      </w:r>
      <w:r w:rsidR="00C926D2" w:rsidRPr="00FC250F">
        <w:t>Lors de la conciliation médicamenteuse de</w:t>
      </w:r>
      <w:r>
        <w:t>s</w:t>
      </w:r>
      <w:r w:rsidR="00C926D2" w:rsidRPr="00FC250F">
        <w:t xml:space="preserve"> traitements, une analyse pharmaceutique des </w:t>
      </w:r>
      <w:r>
        <w:t>prescriptions médicamenteuses</w:t>
      </w:r>
      <w:r w:rsidR="00C926D2" w:rsidRPr="00FC250F">
        <w:t> </w:t>
      </w:r>
      <w:r>
        <w:t xml:space="preserve">(pendant l’hospitalisation, et/ou à la sortie) </w:t>
      </w:r>
      <w:r w:rsidR="00C926D2" w:rsidRPr="00FC250F">
        <w:t>est également réalisée : cette activité doit donc être identifiée et valorisée.</w:t>
      </w:r>
    </w:p>
    <w:p w:rsidR="0058184B" w:rsidRDefault="0058184B">
      <w:pPr>
        <w:spacing w:after="0" w:line="240" w:lineRule="auto"/>
        <w:jc w:val="left"/>
        <w:rPr>
          <w:b/>
          <w:color w:val="034EA2"/>
          <w:sz w:val="24"/>
        </w:rPr>
      </w:pPr>
      <w:bookmarkStart w:id="25" w:name="_Toc522549749"/>
      <w:bookmarkStart w:id="26" w:name="_Toc522624295"/>
      <w:bookmarkStart w:id="27" w:name="_Toc522624359"/>
      <w:bookmarkStart w:id="28" w:name="_Toc524602876"/>
      <w:r>
        <w:br w:type="page"/>
      </w:r>
    </w:p>
    <w:p w:rsidR="00F5000C" w:rsidRDefault="00F5000C" w:rsidP="00953D42">
      <w:pPr>
        <w:pStyle w:val="Style2"/>
        <w:numPr>
          <w:ilvl w:val="0"/>
          <w:numId w:val="0"/>
        </w:numPr>
        <w:rPr>
          <w:u w:val="none"/>
        </w:rPr>
      </w:pPr>
      <w:r w:rsidRPr="00953D42">
        <w:rPr>
          <w:u w:val="none"/>
        </w:rPr>
        <w:lastRenderedPageBreak/>
        <w:t>Couplage de plusieurs axes :</w:t>
      </w:r>
      <w:bookmarkEnd w:id="25"/>
      <w:bookmarkEnd w:id="26"/>
      <w:bookmarkEnd w:id="27"/>
      <w:bookmarkEnd w:id="28"/>
    </w:p>
    <w:p w:rsidR="00860A22" w:rsidRPr="00953D42" w:rsidRDefault="00860A22" w:rsidP="00953D42">
      <w:pPr>
        <w:pStyle w:val="Style2"/>
        <w:numPr>
          <w:ilvl w:val="0"/>
          <w:numId w:val="0"/>
        </w:numPr>
        <w:rPr>
          <w:u w:val="none"/>
        </w:rPr>
      </w:pPr>
    </w:p>
    <w:p w:rsidR="002639D4" w:rsidRPr="00860A22" w:rsidRDefault="002639D4" w:rsidP="00860A22">
      <w:pPr>
        <w:pStyle w:val="Style2"/>
        <w:numPr>
          <w:ilvl w:val="0"/>
          <w:numId w:val="0"/>
        </w:numPr>
        <w:rPr>
          <w:u w:val="none"/>
        </w:rPr>
      </w:pPr>
      <w:r w:rsidRPr="00860A22">
        <w:rPr>
          <w:u w:val="none"/>
        </w:rPr>
        <w:t xml:space="preserve"> </w:t>
      </w:r>
      <w:bookmarkStart w:id="29" w:name="_Toc522624296"/>
      <w:bookmarkStart w:id="30" w:name="_Toc522624360"/>
      <w:bookmarkStart w:id="31" w:name="_Toc524602877"/>
      <w:r w:rsidRPr="00860A22">
        <w:rPr>
          <w:u w:val="none"/>
        </w:rPr>
        <w:t>« OAR+PAR »</w:t>
      </w:r>
      <w:bookmarkEnd w:id="29"/>
      <w:bookmarkEnd w:id="30"/>
      <w:bookmarkEnd w:id="31"/>
    </w:p>
    <w:p w:rsidR="00F5000C" w:rsidRDefault="00F5000C" w:rsidP="00860A22">
      <w:pPr>
        <w:pStyle w:val="Sous-titre"/>
        <w:rPr>
          <w:rFonts w:eastAsia="Times New Roman"/>
          <w:lang w:eastAsia="fr-FR"/>
        </w:rPr>
      </w:pPr>
      <w:r>
        <w:rPr>
          <w:rFonts w:eastAsia="Times New Roman"/>
          <w:lang w:eastAsia="fr-FR"/>
        </w:rPr>
        <w:t>Ex</w:t>
      </w:r>
      <w:r w:rsidR="00C926D2">
        <w:rPr>
          <w:rFonts w:eastAsia="Times New Roman"/>
          <w:lang w:eastAsia="fr-FR"/>
        </w:rPr>
        <w:t>emple</w:t>
      </w:r>
      <w:r w:rsidR="00D03C87">
        <w:rPr>
          <w:rFonts w:eastAsia="Times New Roman"/>
          <w:lang w:eastAsia="fr-FR"/>
        </w:rPr>
        <w:t xml:space="preserve"> </w:t>
      </w:r>
      <w:r>
        <w:rPr>
          <w:rFonts w:eastAsia="Times New Roman"/>
          <w:lang w:eastAsia="fr-FR"/>
        </w:rPr>
        <w:t xml:space="preserve">: </w:t>
      </w:r>
      <w:r w:rsidR="00C926D2">
        <w:t xml:space="preserve">conciliation médicamenteuse pour tous les </w:t>
      </w:r>
      <w:r w:rsidRPr="00EB2C41">
        <w:rPr>
          <w:rFonts w:eastAsia="Times New Roman"/>
          <w:lang w:eastAsia="fr-FR"/>
        </w:rPr>
        <w:t>patients de plus de 75 ans, restant au moins 24 heures en chirurgie orthopédique ou vasculaire et ne voyant que le chirurgien pendant leur séjour (pas d’anesthésiste, pas d’urgentiste)</w:t>
      </w:r>
    </w:p>
    <w:p w:rsidR="002639D4" w:rsidRDefault="002639D4" w:rsidP="00F5000C">
      <w:pPr>
        <w:spacing w:after="0" w:line="240" w:lineRule="auto"/>
        <w:rPr>
          <w:rFonts w:eastAsia="Times New Roman"/>
          <w:lang w:eastAsia="fr-FR"/>
        </w:rPr>
      </w:pPr>
    </w:p>
    <w:p w:rsidR="002639D4" w:rsidRPr="00860A22" w:rsidRDefault="002639D4" w:rsidP="00860A22">
      <w:pPr>
        <w:pStyle w:val="Style2"/>
        <w:numPr>
          <w:ilvl w:val="0"/>
          <w:numId w:val="0"/>
        </w:numPr>
        <w:rPr>
          <w:u w:val="none"/>
        </w:rPr>
      </w:pPr>
      <w:bookmarkStart w:id="32" w:name="_Toc522624297"/>
      <w:bookmarkStart w:id="33" w:name="_Toc522624361"/>
      <w:bookmarkStart w:id="34" w:name="_Toc524602878"/>
      <w:r w:rsidRPr="00860A22">
        <w:rPr>
          <w:u w:val="none"/>
        </w:rPr>
        <w:t>« OAR+PAR+MAR »</w:t>
      </w:r>
      <w:bookmarkEnd w:id="32"/>
      <w:bookmarkEnd w:id="33"/>
      <w:bookmarkEnd w:id="34"/>
    </w:p>
    <w:p w:rsidR="00F5000C" w:rsidRDefault="002639D4" w:rsidP="00860A22">
      <w:pPr>
        <w:pStyle w:val="Sous-titre"/>
      </w:pPr>
      <w:r>
        <w:t>Exemple</w:t>
      </w:r>
      <w:r w:rsidR="00D03C87">
        <w:t xml:space="preserve"> </w:t>
      </w:r>
      <w:r>
        <w:t>:</w:t>
      </w:r>
      <w:r w:rsidRPr="00EB2C41">
        <w:t xml:space="preserve"> </w:t>
      </w:r>
      <w:r>
        <w:t xml:space="preserve">conciliation médicamenteuse pour tous les </w:t>
      </w:r>
      <w:r w:rsidRPr="00EB2C41">
        <w:t>patients jamais venus</w:t>
      </w:r>
      <w:r>
        <w:t xml:space="preserve"> dans l’établissement,</w:t>
      </w:r>
      <w:r w:rsidRPr="00EB2C41">
        <w:t xml:space="preserve"> âgés </w:t>
      </w:r>
      <w:r>
        <w:t xml:space="preserve">de plus de 75 ans </w:t>
      </w:r>
      <w:r w:rsidRPr="00EB2C41">
        <w:t xml:space="preserve">et avec </w:t>
      </w:r>
      <w:r>
        <w:t xml:space="preserve">un </w:t>
      </w:r>
      <w:r w:rsidRPr="00EB2C41">
        <w:t>des médicaments à ris</w:t>
      </w:r>
      <w:r>
        <w:t>que (liste établie au sein de l’établissement)</w:t>
      </w:r>
    </w:p>
    <w:p w:rsidR="0058184B" w:rsidRPr="0058184B" w:rsidRDefault="0058184B" w:rsidP="0058184B"/>
    <w:p w:rsidR="00042A85" w:rsidRDefault="00042A85" w:rsidP="00746642">
      <w:pPr>
        <w:pStyle w:val="Style2"/>
        <w:numPr>
          <w:ilvl w:val="0"/>
          <w:numId w:val="2"/>
        </w:numPr>
      </w:pPr>
      <w:bookmarkStart w:id="35" w:name="_Toc524602879"/>
      <w:r>
        <w:t>Formalisation des ressources et moyens nécessaires</w:t>
      </w:r>
      <w:bookmarkEnd w:id="35"/>
    </w:p>
    <w:p w:rsidR="00FC250F" w:rsidRDefault="00FC250F" w:rsidP="00746642">
      <w:pPr>
        <w:pStyle w:val="Paragraphedeliste"/>
        <w:numPr>
          <w:ilvl w:val="0"/>
          <w:numId w:val="5"/>
        </w:numPr>
      </w:pPr>
      <w:r>
        <w:t xml:space="preserve">Définir les </w:t>
      </w:r>
      <w:r w:rsidRPr="000F5B9F">
        <w:rPr>
          <w:b/>
        </w:rPr>
        <w:t>ressources actuelles</w:t>
      </w:r>
      <w:r>
        <w:t xml:space="preserve"> dédiées aux différentes activités </w:t>
      </w:r>
      <w:r w:rsidR="000F5B9F">
        <w:t xml:space="preserve">pharmaceutiques et notamment aux activités de </w:t>
      </w:r>
      <w:r>
        <w:t>pharmacie clinique</w:t>
      </w:r>
      <w:r w:rsidR="000F5B9F">
        <w:t xml:space="preserve"> préexistantes</w:t>
      </w:r>
    </w:p>
    <w:p w:rsidR="00FC250F" w:rsidRDefault="00FC250F" w:rsidP="00746642">
      <w:pPr>
        <w:pStyle w:val="Paragraphedeliste"/>
        <w:numPr>
          <w:ilvl w:val="0"/>
          <w:numId w:val="5"/>
        </w:numPr>
      </w:pPr>
      <w:r>
        <w:t xml:space="preserve">Définir les ressources au sein de l’établissement </w:t>
      </w:r>
      <w:r w:rsidRPr="00FC250F">
        <w:rPr>
          <w:b/>
        </w:rPr>
        <w:t>pouvant concourir</w:t>
      </w:r>
      <w:r>
        <w:t xml:space="preserve"> à la réalisation des activités de pharmacie clinique</w:t>
      </w:r>
    </w:p>
    <w:p w:rsidR="00FC250F" w:rsidRDefault="00860A22" w:rsidP="00746642">
      <w:pPr>
        <w:pStyle w:val="Paragraphedeliste"/>
        <w:numPr>
          <w:ilvl w:val="1"/>
          <w:numId w:val="5"/>
        </w:numPr>
      </w:pPr>
      <w:r>
        <w:t>Temps pharmaceutique :</w:t>
      </w:r>
      <w:r w:rsidR="00FC250F">
        <w:t xml:space="preserve"> pharmaciens, préparateurs en pharmacie, internes en pharmacie, étudiants en pharmacie</w:t>
      </w:r>
    </w:p>
    <w:p w:rsidR="00FC250F" w:rsidRDefault="00FC250F" w:rsidP="00746642">
      <w:pPr>
        <w:pStyle w:val="Paragraphedeliste"/>
        <w:numPr>
          <w:ilvl w:val="1"/>
          <w:numId w:val="5"/>
        </w:numPr>
      </w:pPr>
      <w:r>
        <w:t>Temps non pharmaceutique : médecins, infirmiers, secrétaires médicales…</w:t>
      </w:r>
    </w:p>
    <w:p w:rsidR="007963F8" w:rsidRDefault="007963F8" w:rsidP="007963F8">
      <w:pPr>
        <w:pStyle w:val="Paragraphedeliste"/>
        <w:numPr>
          <w:ilvl w:val="0"/>
          <w:numId w:val="5"/>
        </w:numPr>
      </w:pPr>
      <w:r>
        <w:t>Définir les compétences de chaque ressource et les activités réalisables par chacun</w:t>
      </w:r>
    </w:p>
    <w:p w:rsidR="00FC250F" w:rsidRDefault="00FC250F" w:rsidP="00746642">
      <w:pPr>
        <w:pStyle w:val="Paragraphedeliste"/>
        <w:numPr>
          <w:ilvl w:val="0"/>
          <w:numId w:val="5"/>
        </w:numPr>
      </w:pPr>
      <w:r>
        <w:t xml:space="preserve">Définir les besoins en </w:t>
      </w:r>
      <w:r w:rsidR="004F0C36">
        <w:t>termes</w:t>
      </w:r>
      <w:r w:rsidR="00FB5C16">
        <w:t xml:space="preserve"> de </w:t>
      </w:r>
      <w:r w:rsidR="00860A22">
        <w:t>formation</w:t>
      </w:r>
      <w:r w:rsidR="00D2700E">
        <w:t>s</w:t>
      </w:r>
    </w:p>
    <w:p w:rsidR="00FC250F" w:rsidRDefault="00FC250F" w:rsidP="00746642">
      <w:pPr>
        <w:pStyle w:val="Paragraphedeliste"/>
        <w:numPr>
          <w:ilvl w:val="0"/>
          <w:numId w:val="5"/>
        </w:numPr>
      </w:pPr>
      <w:r>
        <w:t>M</w:t>
      </w:r>
      <w:r w:rsidR="00596547">
        <w:t xml:space="preserve">ettre en regard </w:t>
      </w:r>
      <w:r>
        <w:t>du périmètre défini préalablement :</w:t>
      </w:r>
    </w:p>
    <w:p w:rsidR="00FC250F" w:rsidRDefault="00FC250F" w:rsidP="00746642">
      <w:pPr>
        <w:pStyle w:val="Paragraphedeliste"/>
        <w:numPr>
          <w:ilvl w:val="1"/>
          <w:numId w:val="5"/>
        </w:numPr>
      </w:pPr>
      <w:r>
        <w:t>Les moyens actuellement disponibles (faisabilité de la stratégie</w:t>
      </w:r>
      <w:r w:rsidR="0030365D">
        <w:t xml:space="preserve"> à l’instant d</w:t>
      </w:r>
      <w:r w:rsidR="006B4E6F">
        <w:t>onné</w:t>
      </w:r>
      <w:r>
        <w:t>)</w:t>
      </w:r>
    </w:p>
    <w:p w:rsidR="00596547" w:rsidRDefault="00FC250F" w:rsidP="00746642">
      <w:pPr>
        <w:pStyle w:val="Paragraphedeliste"/>
        <w:numPr>
          <w:ilvl w:val="1"/>
          <w:numId w:val="5"/>
        </w:numPr>
      </w:pPr>
      <w:r>
        <w:t>L</w:t>
      </w:r>
      <w:r w:rsidR="00596547">
        <w:t>es moyens à mettre en œuvre dans le futur</w:t>
      </w:r>
      <w:r w:rsidR="0030365D">
        <w:t xml:space="preserve"> (objectifs à moyen/long terme)</w:t>
      </w:r>
    </w:p>
    <w:p w:rsidR="000F5B9F" w:rsidRDefault="0030365D" w:rsidP="000F5B9F">
      <w:pPr>
        <w:pStyle w:val="Citation"/>
      </w:pPr>
      <w:r w:rsidRPr="00F5000C">
        <w:sym w:font="Wingdings" w:char="F024"/>
      </w:r>
      <w:r>
        <w:t xml:space="preserve"> </w:t>
      </w:r>
      <w:r w:rsidR="00FC250F" w:rsidRPr="0030365D">
        <w:t xml:space="preserve">Cette étape nécessite de </w:t>
      </w:r>
      <w:r w:rsidR="007076A6">
        <w:t>« </w:t>
      </w:r>
      <w:r w:rsidR="00FC250F" w:rsidRPr="0030365D">
        <w:t>remettre à plat</w:t>
      </w:r>
      <w:r w:rsidR="007076A6">
        <w:t> »</w:t>
      </w:r>
      <w:r w:rsidR="00FC250F" w:rsidRPr="0030365D">
        <w:t xml:space="preserve"> l’ensemble de</w:t>
      </w:r>
      <w:r>
        <w:t>s activités pharmaceutiques (</w:t>
      </w:r>
      <w:r w:rsidR="00FC250F" w:rsidRPr="0030365D">
        <w:t>activités de pharmacie clinique et autres activités</w:t>
      </w:r>
      <w:r>
        <w:t>)</w:t>
      </w:r>
      <w:r w:rsidR="00FC250F" w:rsidRPr="0030365D">
        <w:t> :</w:t>
      </w:r>
    </w:p>
    <w:p w:rsidR="000F5B9F" w:rsidRDefault="000F5B9F" w:rsidP="00392E9E">
      <w:pPr>
        <w:pStyle w:val="Citation"/>
        <w:jc w:val="left"/>
      </w:pPr>
      <w:r>
        <w:t xml:space="preserve">- </w:t>
      </w:r>
      <w:r w:rsidR="0030365D" w:rsidRPr="0030365D">
        <w:t>Quelles sont les activités pharmaceutiques qui pourraient être réorganisées ? Déléguées ? Mutualisées ?</w:t>
      </w:r>
    </w:p>
    <w:p w:rsidR="00C92717" w:rsidRDefault="000F5B9F" w:rsidP="00C92717">
      <w:pPr>
        <w:pStyle w:val="Citation"/>
        <w:jc w:val="left"/>
      </w:pPr>
      <w:r>
        <w:t xml:space="preserve">- </w:t>
      </w:r>
      <w:r w:rsidR="0030365D" w:rsidRPr="0030365D">
        <w:t xml:space="preserve">Quelles sont les activités qui ne semblent </w:t>
      </w:r>
      <w:r w:rsidR="0030365D">
        <w:t>pas/</w:t>
      </w:r>
      <w:r w:rsidR="0030365D" w:rsidRPr="0030365D">
        <w:t>plus pertinentes au regard des risques identifiés ?</w:t>
      </w:r>
    </w:p>
    <w:p w:rsidR="000F5B9F" w:rsidRDefault="00C859A5" w:rsidP="00C859A5">
      <w:pPr>
        <w:pStyle w:val="Sous-titre"/>
      </w:pPr>
      <w:r>
        <w:t>Exemple : réalisation d’une cartographie des activités actuelles et futures : description des activités spécifiques opérationnelles, des activités transversales et de support</w:t>
      </w:r>
    </w:p>
    <w:p w:rsidR="00C92717" w:rsidRPr="00C92717" w:rsidRDefault="00C92717" w:rsidP="00C92717"/>
    <w:p w:rsidR="000F5B9F" w:rsidRPr="004F0C36" w:rsidRDefault="000F5B9F" w:rsidP="000F5B9F">
      <w:pPr>
        <w:pStyle w:val="Citation"/>
      </w:pPr>
      <w:r w:rsidRPr="00F5000C">
        <w:sym w:font="Wingdings" w:char="F024"/>
      </w:r>
      <w:r>
        <w:t xml:space="preserve"> Pour les établissements publics, la réflexion peut se faire à l’échelle du Groupement Hospitalier de Territoire (GHT).</w:t>
      </w:r>
    </w:p>
    <w:p w:rsidR="00392E9E" w:rsidRDefault="00392E9E" w:rsidP="00392E9E">
      <w:pPr>
        <w:pStyle w:val="Citation"/>
      </w:pPr>
      <w:r w:rsidRPr="00F5000C">
        <w:lastRenderedPageBreak/>
        <w:sym w:font="Wingdings" w:char="F024"/>
      </w:r>
      <w:r>
        <w:t xml:space="preserve"> Envisager différents leviers de financement :</w:t>
      </w:r>
    </w:p>
    <w:p w:rsidR="00392E9E" w:rsidRDefault="00392E9E" w:rsidP="00C92717">
      <w:pPr>
        <w:pStyle w:val="Citation"/>
        <w:spacing w:after="0" w:line="240" w:lineRule="auto"/>
        <w:jc w:val="left"/>
      </w:pPr>
      <w:r>
        <w:t xml:space="preserve">- </w:t>
      </w:r>
      <w:r w:rsidRPr="00392E9E">
        <w:t>Réorganisation des activités </w:t>
      </w:r>
    </w:p>
    <w:p w:rsidR="0081540E" w:rsidRDefault="00F75527" w:rsidP="00C92717">
      <w:pPr>
        <w:pStyle w:val="Citation"/>
        <w:spacing w:after="0" w:line="240" w:lineRule="auto"/>
        <w:jc w:val="left"/>
      </w:pPr>
      <w:r>
        <w:t xml:space="preserve">- </w:t>
      </w:r>
      <w:r w:rsidR="0081540E">
        <w:t>Via les économies réalisées</w:t>
      </w:r>
    </w:p>
    <w:p w:rsidR="00392E9E" w:rsidRPr="00392E9E" w:rsidRDefault="00392E9E" w:rsidP="00C92717">
      <w:pPr>
        <w:pStyle w:val="Citation"/>
        <w:spacing w:after="0" w:line="240" w:lineRule="auto"/>
        <w:jc w:val="left"/>
      </w:pPr>
      <w:r>
        <w:t>- Réponse à des a</w:t>
      </w:r>
      <w:r w:rsidRPr="00392E9E">
        <w:t>ppel</w:t>
      </w:r>
      <w:r>
        <w:t>s</w:t>
      </w:r>
      <w:r w:rsidRPr="00392E9E">
        <w:t xml:space="preserve"> à projet</w:t>
      </w:r>
      <w:r>
        <w:t>s</w:t>
      </w:r>
      <w:r w:rsidRPr="00392E9E">
        <w:t xml:space="preserve"> régionaux ou nationaux</w:t>
      </w:r>
    </w:p>
    <w:p w:rsidR="00392E9E" w:rsidRPr="00392E9E" w:rsidRDefault="00392E9E" w:rsidP="00C92717">
      <w:pPr>
        <w:pStyle w:val="Citation"/>
        <w:spacing w:after="0" w:line="240" w:lineRule="auto"/>
        <w:jc w:val="left"/>
      </w:pPr>
      <w:r>
        <w:t xml:space="preserve">- </w:t>
      </w:r>
      <w:r w:rsidRPr="00392E9E">
        <w:t>Réalisation de projets</w:t>
      </w:r>
      <w:r>
        <w:t xml:space="preserve"> de recherche type PREPS</w:t>
      </w:r>
      <w:r w:rsidRPr="00392E9E">
        <w:t>…</w:t>
      </w:r>
    </w:p>
    <w:p w:rsidR="00392E9E" w:rsidRDefault="00392E9E" w:rsidP="00392E9E">
      <w:pPr>
        <w:pStyle w:val="Style2"/>
        <w:numPr>
          <w:ilvl w:val="0"/>
          <w:numId w:val="0"/>
        </w:numPr>
        <w:ind w:left="720" w:hanging="360"/>
      </w:pPr>
    </w:p>
    <w:p w:rsidR="00392E9E" w:rsidRDefault="00392E9E" w:rsidP="00392E9E">
      <w:pPr>
        <w:pStyle w:val="Style2"/>
        <w:numPr>
          <w:ilvl w:val="0"/>
          <w:numId w:val="0"/>
        </w:numPr>
        <w:ind w:left="720" w:hanging="360"/>
      </w:pPr>
    </w:p>
    <w:p w:rsidR="007B3CD2" w:rsidRDefault="006A30F1" w:rsidP="00746642">
      <w:pPr>
        <w:pStyle w:val="Style2"/>
        <w:numPr>
          <w:ilvl w:val="0"/>
          <w:numId w:val="2"/>
        </w:numPr>
      </w:pPr>
      <w:bookmarkStart w:id="36" w:name="_Toc524602880"/>
      <w:r>
        <w:t>Outils disponibles : a</w:t>
      </w:r>
      <w:r w:rsidR="00042A85">
        <w:t>ppréciation de</w:t>
      </w:r>
      <w:r>
        <w:t xml:space="preserve"> leurs performances et de leur </w:t>
      </w:r>
      <w:r w:rsidR="00042A85">
        <w:t>évolutivité</w:t>
      </w:r>
      <w:bookmarkEnd w:id="36"/>
    </w:p>
    <w:p w:rsidR="00860A22" w:rsidRDefault="007076A6" w:rsidP="007B3CD2">
      <w:pPr>
        <w:pStyle w:val="Paragraphedeliste"/>
        <w:numPr>
          <w:ilvl w:val="0"/>
          <w:numId w:val="5"/>
        </w:numPr>
      </w:pPr>
      <w:r>
        <w:t>Quels sont les outils actuellement disponibles pour les professionnels impliqués ?</w:t>
      </w:r>
      <w:r w:rsidR="006A57CE">
        <w:t xml:space="preserve"> Ces outils sont-ils exploités au maximum de leur capacité ?</w:t>
      </w:r>
    </w:p>
    <w:p w:rsidR="0065734E" w:rsidRDefault="0065734E" w:rsidP="007B3CD2">
      <w:pPr>
        <w:pStyle w:val="Paragraphedeliste"/>
        <w:numPr>
          <w:ilvl w:val="0"/>
          <w:numId w:val="5"/>
        </w:numPr>
      </w:pPr>
      <w:r>
        <w:t>La dématérialisation est-elle privilégiée (dossier informatisé, échanges sécurisés par mail…) ?</w:t>
      </w:r>
    </w:p>
    <w:p w:rsidR="007076A6" w:rsidRDefault="007076A6" w:rsidP="007B3CD2">
      <w:pPr>
        <w:pStyle w:val="Paragraphedeliste"/>
        <w:numPr>
          <w:ilvl w:val="0"/>
          <w:numId w:val="5"/>
        </w:numPr>
      </w:pPr>
      <w:r>
        <w:t>Quels sont les outils existants mais actuellement non disponibles qui pourraient bénéficier à la réalisation des activités de pharmacie clinique ?</w:t>
      </w:r>
    </w:p>
    <w:p w:rsidR="007076A6" w:rsidRDefault="007076A6" w:rsidP="00860A22">
      <w:pPr>
        <w:pStyle w:val="Sous-titre"/>
      </w:pPr>
      <w:r>
        <w:t xml:space="preserve">Exemples : Dossier </w:t>
      </w:r>
      <w:r w:rsidR="0081540E">
        <w:t>du patient informatisé, logiciel d’aide à la</w:t>
      </w:r>
      <w:r>
        <w:t xml:space="preserve"> prescription, logiciel de validation pharmaceutique, logiciel d’organisation des soins (planification des consultations, de la chirurgie), logiciel de consultation anesthésique</w:t>
      </w:r>
      <w:r w:rsidR="0065734E">
        <w:t>, messageries sécurisées</w:t>
      </w:r>
      <w:r>
        <w:t>….</w:t>
      </w:r>
    </w:p>
    <w:p w:rsidR="0065734E" w:rsidRDefault="007076A6" w:rsidP="0065734E">
      <w:pPr>
        <w:pStyle w:val="Paragraphedeliste"/>
        <w:numPr>
          <w:ilvl w:val="0"/>
          <w:numId w:val="5"/>
        </w:numPr>
      </w:pPr>
      <w:r>
        <w:t>Quels sont les évolutions possibles des outils disponibles ?</w:t>
      </w:r>
    </w:p>
    <w:p w:rsidR="007076A6" w:rsidRDefault="007076A6" w:rsidP="00860A22">
      <w:pPr>
        <w:pStyle w:val="Citation"/>
      </w:pPr>
      <w:r w:rsidRPr="007076A6">
        <w:sym w:font="Wingdings" w:char="F024"/>
      </w:r>
      <w:r w:rsidRPr="007076A6">
        <w:t xml:space="preserve"> </w:t>
      </w:r>
      <w:r w:rsidR="007B3CD2" w:rsidRPr="007076A6">
        <w:t xml:space="preserve">Penser </w:t>
      </w:r>
      <w:r w:rsidRPr="007076A6">
        <w:t>aux outils utilisés par d’autres établissements</w:t>
      </w:r>
      <w:r>
        <w:t> </w:t>
      </w:r>
      <w:r w:rsidRPr="007076A6">
        <w:t xml:space="preserve">: des évolutions qui pourraient être utiles </w:t>
      </w:r>
      <w:r w:rsidR="006B4E6F">
        <w:t>ont pu être réalisées</w:t>
      </w:r>
      <w:r w:rsidR="00166840">
        <w:t xml:space="preserve"> dans </w:t>
      </w:r>
      <w:r w:rsidR="00272A6B">
        <w:t>d’</w:t>
      </w:r>
      <w:r w:rsidR="00860A22">
        <w:t>autres établissements (</w:t>
      </w:r>
      <w:r w:rsidR="00166840">
        <w:t>formulaire pour faciliter la conciliation médicamenteuse, requêtes pour cibler les patients</w:t>
      </w:r>
      <w:r w:rsidR="00860A22">
        <w:t>, etc.</w:t>
      </w:r>
      <w:r w:rsidR="00166840">
        <w:t>)</w:t>
      </w:r>
    </w:p>
    <w:p w:rsidR="00166840" w:rsidRPr="00D03C87" w:rsidRDefault="00166840" w:rsidP="00166840">
      <w:pPr>
        <w:jc w:val="center"/>
        <w:rPr>
          <w:i/>
        </w:rPr>
      </w:pPr>
      <w:r w:rsidRPr="00D03C87">
        <w:rPr>
          <w:i/>
        </w:rPr>
        <w:t>Retrouvez l’état des lieux régional sur les systèmes d’information hospitaliers (données 2016) :</w:t>
      </w:r>
    </w:p>
    <w:p w:rsidR="00166840" w:rsidRDefault="00986060" w:rsidP="00166840">
      <w:pPr>
        <w:jc w:val="center"/>
        <w:rPr>
          <w:i/>
          <w:color w:val="0070C0"/>
        </w:rPr>
      </w:pPr>
      <w:hyperlink r:id="rId15" w:history="1">
        <w:r w:rsidR="00166840" w:rsidRPr="008E33D8">
          <w:rPr>
            <w:rStyle w:val="Lienhypertexte"/>
            <w:i/>
          </w:rPr>
          <w:t>http://www.omedit-paysdelaloire.fr/fr/securisation/scmsanitaire/informatisation/informatisation-du-circuit-du-medicament,370,46513.html</w:t>
        </w:r>
      </w:hyperlink>
    </w:p>
    <w:p w:rsidR="007076A6" w:rsidRPr="007076A6" w:rsidRDefault="007076A6" w:rsidP="00860A22">
      <w:pPr>
        <w:pStyle w:val="Citation"/>
      </w:pPr>
      <w:r w:rsidRPr="007076A6">
        <w:sym w:font="Wingdings" w:char="F024"/>
      </w:r>
      <w:r w:rsidRPr="007076A6">
        <w:t xml:space="preserve"> Penser également aux</w:t>
      </w:r>
      <w:r>
        <w:t xml:space="preserve"> nouveaux </w:t>
      </w:r>
      <w:r w:rsidRPr="007076A6">
        <w:t>outils proposés type progiciel</w:t>
      </w:r>
      <w:r>
        <w:t>s</w:t>
      </w:r>
      <w:r w:rsidRPr="007076A6">
        <w:t>,</w:t>
      </w:r>
      <w:r w:rsidR="00FB5C16">
        <w:t xml:space="preserve"> interfaces web,</w:t>
      </w:r>
      <w:r w:rsidRPr="007076A6">
        <w:t xml:space="preserve"> qui peuvent se rajouter aux logiciel</w:t>
      </w:r>
      <w:r w:rsidR="00FC626A">
        <w:t>s</w:t>
      </w:r>
      <w:r w:rsidRPr="007076A6">
        <w:t xml:space="preserve"> institutionnels et aider au ciblage et/ou à la réalisation des activités de pharmacie clinique.</w:t>
      </w:r>
    </w:p>
    <w:p w:rsidR="006D2CD1" w:rsidRDefault="007076A6" w:rsidP="00D05A65">
      <w:pPr>
        <w:pStyle w:val="Sous-titre"/>
      </w:pPr>
      <w:r>
        <w:t xml:space="preserve"> Exemple : </w:t>
      </w:r>
      <w:r w:rsidR="00FB5C16">
        <w:t xml:space="preserve">Dossier Pharmaceutique, DMP, </w:t>
      </w:r>
      <w:r>
        <w:t>Pharmaclass</w:t>
      </w:r>
      <w:r w:rsidR="00D05A65" w:rsidRPr="00D05A65">
        <w:rPr>
          <w:vertAlign w:val="superscript"/>
        </w:rPr>
        <w:t>®</w:t>
      </w:r>
      <w:r>
        <w:t>, Hospiville</w:t>
      </w:r>
      <w:r w:rsidR="00D05A65" w:rsidRPr="00D05A65">
        <w:rPr>
          <w:vertAlign w:val="superscript"/>
        </w:rPr>
        <w:t>®</w:t>
      </w:r>
      <w:r w:rsidR="00FB5C16">
        <w:t>…</w:t>
      </w:r>
    </w:p>
    <w:p w:rsidR="006D2CD1" w:rsidRPr="006D2CD1" w:rsidRDefault="00C859A5" w:rsidP="00C859A5">
      <w:pPr>
        <w:pStyle w:val="Citation"/>
      </w:pPr>
      <w:r w:rsidRPr="007076A6">
        <w:sym w:font="Wingdings" w:char="F024"/>
      </w:r>
      <w:r w:rsidRPr="007076A6">
        <w:t xml:space="preserve"> </w:t>
      </w:r>
      <w:r w:rsidR="006D2CD1">
        <w:t>Pour aider à la définition d’une stratégie de pharmacie clinique, des outils tels que le « SWOT » peuvent être utilisés afin de</w:t>
      </w:r>
      <w:r>
        <w:t xml:space="preserve"> faire un état des lieux :</w:t>
      </w:r>
      <w:r w:rsidR="006D2CD1">
        <w:t xml:space="preserve"> déterminer les forces, les faiblesses, les opportunités, les menaces pour la réalisation des activités de pharmacie clinique</w:t>
      </w:r>
    </w:p>
    <w:p w:rsidR="006150BF" w:rsidRDefault="006150BF" w:rsidP="00300B58">
      <w:pPr>
        <w:spacing w:after="0"/>
        <w:rPr>
          <w:b/>
          <w:color w:val="034EA2"/>
          <w:u w:val="single"/>
        </w:rPr>
      </w:pPr>
    </w:p>
    <w:p w:rsidR="00D03C87" w:rsidRDefault="00D03C87">
      <w:pPr>
        <w:spacing w:after="0" w:line="240" w:lineRule="auto"/>
        <w:jc w:val="left"/>
        <w:rPr>
          <w:b/>
          <w:color w:val="034EA2"/>
          <w:sz w:val="32"/>
        </w:rPr>
      </w:pPr>
      <w:r>
        <w:br w:type="page"/>
      </w:r>
    </w:p>
    <w:p w:rsidR="00D04497" w:rsidRPr="006150BF" w:rsidRDefault="00D04497" w:rsidP="00D04497">
      <w:pPr>
        <w:pStyle w:val="Style1"/>
      </w:pPr>
      <w:bookmarkStart w:id="37" w:name="_Toc524602881"/>
      <w:r>
        <w:lastRenderedPageBreak/>
        <w:t>METTRE EN PLACE SA STRATEGIE DE</w:t>
      </w:r>
      <w:r w:rsidRPr="006150BF">
        <w:t xml:space="preserve"> PHARMACIE CLINIQUE</w:t>
      </w:r>
      <w:bookmarkEnd w:id="37"/>
    </w:p>
    <w:p w:rsidR="00D04497" w:rsidRDefault="00D04497" w:rsidP="00D04497">
      <w:pPr>
        <w:spacing w:after="0"/>
        <w:rPr>
          <w:b/>
          <w:color w:val="034EA2"/>
          <w:u w:val="single"/>
        </w:rPr>
      </w:pPr>
    </w:p>
    <w:p w:rsidR="00D04497" w:rsidRDefault="00D04497" w:rsidP="00D04497">
      <w:pPr>
        <w:spacing w:after="0"/>
        <w:rPr>
          <w:b/>
          <w:color w:val="034EA2"/>
          <w:u w:val="single"/>
        </w:rPr>
      </w:pPr>
    </w:p>
    <w:p w:rsidR="00091CBA" w:rsidRDefault="001D1AC7" w:rsidP="00746642">
      <w:pPr>
        <w:pStyle w:val="Style2"/>
        <w:numPr>
          <w:ilvl w:val="0"/>
          <w:numId w:val="7"/>
        </w:numPr>
        <w:ind w:left="714" w:hanging="357"/>
        <w:contextualSpacing w:val="0"/>
      </w:pPr>
      <w:bookmarkStart w:id="38" w:name="_Toc524602882"/>
      <w:r>
        <w:t>Définir sa/ses m</w:t>
      </w:r>
      <w:r w:rsidR="00091CBA">
        <w:t>éthodes</w:t>
      </w:r>
      <w:bookmarkEnd w:id="38"/>
    </w:p>
    <w:p w:rsidR="00835E1A" w:rsidRPr="00FA62B0" w:rsidRDefault="00835E1A" w:rsidP="00FA62B0">
      <w:pPr>
        <w:pStyle w:val="Style2"/>
        <w:numPr>
          <w:ilvl w:val="0"/>
          <w:numId w:val="0"/>
        </w:numPr>
        <w:rPr>
          <w:u w:val="none"/>
        </w:rPr>
      </w:pPr>
      <w:bookmarkStart w:id="39" w:name="_Toc522549754"/>
      <w:bookmarkStart w:id="40" w:name="_Toc522624302"/>
      <w:bookmarkStart w:id="41" w:name="_Toc522624366"/>
      <w:bookmarkStart w:id="42" w:name="_Toc524602883"/>
      <w:r w:rsidRPr="00FA62B0">
        <w:rPr>
          <w:u w:val="none"/>
        </w:rPr>
        <w:t>Différentes organisation possibles :</w:t>
      </w:r>
      <w:bookmarkEnd w:id="39"/>
      <w:bookmarkEnd w:id="40"/>
      <w:bookmarkEnd w:id="41"/>
      <w:bookmarkEnd w:id="42"/>
    </w:p>
    <w:p w:rsidR="00953D42" w:rsidRDefault="00EB2C41" w:rsidP="00746642">
      <w:pPr>
        <w:pStyle w:val="Paragraphedeliste"/>
        <w:numPr>
          <w:ilvl w:val="0"/>
          <w:numId w:val="5"/>
        </w:numPr>
      </w:pPr>
      <w:r w:rsidRPr="00860A22">
        <w:rPr>
          <w:b/>
        </w:rPr>
        <w:t>Analyse pharmaceutique</w:t>
      </w:r>
      <w:r>
        <w:t xml:space="preserve"> en continu</w:t>
      </w:r>
      <w:r w:rsidR="00860A22">
        <w:t>,</w:t>
      </w:r>
      <w:r w:rsidR="00D41BA4">
        <w:t xml:space="preserve"> selon une fréquence préalablement définie </w:t>
      </w:r>
      <w:r w:rsidR="00860A22">
        <w:t>et/</w:t>
      </w:r>
      <w:r w:rsidR="00D41BA4">
        <w:t>ou selon</w:t>
      </w:r>
      <w:r w:rsidR="00860A22">
        <w:t xml:space="preserve"> des règles : </w:t>
      </w:r>
      <w:r w:rsidR="00953D42">
        <w:t>en fonction de la fréquence moyenne de modification des prescriptions</w:t>
      </w:r>
      <w:r w:rsidR="00860A22">
        <w:t>,</w:t>
      </w:r>
      <w:r w:rsidR="00953D42">
        <w:t xml:space="preserve"> et/ou réalisée à des moments définis dans les séjours des patients</w:t>
      </w:r>
      <w:r w:rsidR="00860A22">
        <w:t>, etc.</w:t>
      </w:r>
    </w:p>
    <w:p w:rsidR="00953D42" w:rsidRDefault="00953D42" w:rsidP="00860A22">
      <w:pPr>
        <w:pStyle w:val="Sous-titre"/>
      </w:pPr>
      <w:r>
        <w:t xml:space="preserve">Exemple : </w:t>
      </w:r>
      <w:r w:rsidR="00D05A65">
        <w:t>analyse</w:t>
      </w:r>
      <w:r>
        <w:t xml:space="preserve"> uniquement à l’admission sur des lits d’EHPAD/SLD puis choix d’une validation hebdomadaire sur ces lits/séjours/patients</w:t>
      </w:r>
    </w:p>
    <w:p w:rsidR="00EB2C41" w:rsidRDefault="00EB2C41" w:rsidP="00746642">
      <w:pPr>
        <w:pStyle w:val="Paragraphedeliste"/>
        <w:numPr>
          <w:ilvl w:val="0"/>
          <w:numId w:val="5"/>
        </w:numPr>
      </w:pPr>
      <w:r>
        <w:t>Analyse pharmaceutique sous forme de campagnes ciblées</w:t>
      </w:r>
      <w:r w:rsidR="001D1AC7">
        <w:t>,</w:t>
      </w:r>
      <w:r w:rsidR="00835E1A">
        <w:t xml:space="preserve"> temporaires, selon un calendrier à définir, éventuellement récurrentes</w:t>
      </w:r>
    </w:p>
    <w:p w:rsidR="00835E1A" w:rsidRDefault="00835E1A" w:rsidP="00860A22">
      <w:pPr>
        <w:pStyle w:val="Sous-titre"/>
      </w:pPr>
      <w:r>
        <w:t>Exemple : à l’arrivée des nouveaux internes en médecine, campagne sur la déprescription d</w:t>
      </w:r>
      <w:r w:rsidR="001D1AC7">
        <w:t xml:space="preserve">e </w:t>
      </w:r>
      <w:r w:rsidR="00D03C87">
        <w:t>l’</w:t>
      </w:r>
      <w:r w:rsidR="00513DEC">
        <w:t>H</w:t>
      </w:r>
      <w:r w:rsidR="00D03C87">
        <w:t>ydroxyzine</w:t>
      </w:r>
      <w:r w:rsidR="001D1AC7">
        <w:t xml:space="preserve"> chez la personne âgée en chirurgie</w:t>
      </w:r>
    </w:p>
    <w:p w:rsidR="001A719D" w:rsidRDefault="001D1AC7" w:rsidP="00746642">
      <w:pPr>
        <w:pStyle w:val="Paragraphedeliste"/>
        <w:numPr>
          <w:ilvl w:val="0"/>
          <w:numId w:val="5"/>
        </w:numPr>
      </w:pPr>
      <w:r w:rsidRPr="00860A22">
        <w:rPr>
          <w:b/>
        </w:rPr>
        <w:t>Conciliation médicamenteuse</w:t>
      </w:r>
      <w:r>
        <w:t xml:space="preserve"> proactive/rétroactive</w:t>
      </w:r>
      <w:r w:rsidR="001A719D">
        <w:t> : choix à adapter aux organisations des services/activités, à la disponibilité des professionnels impliqués, à la durée moyenne de séjour</w:t>
      </w:r>
      <w:r w:rsidR="00513DEC">
        <w:t>,</w:t>
      </w:r>
      <w:r w:rsidR="001A719D">
        <w:t xml:space="preserve"> etc.</w:t>
      </w:r>
    </w:p>
    <w:p w:rsidR="001D1AC7" w:rsidRDefault="00513DEC" w:rsidP="00746642">
      <w:pPr>
        <w:pStyle w:val="Paragraphedeliste"/>
        <w:numPr>
          <w:ilvl w:val="0"/>
          <w:numId w:val="5"/>
        </w:numPr>
      </w:pPr>
      <w:r>
        <w:rPr>
          <w:b/>
        </w:rPr>
        <w:t xml:space="preserve">Consultations/entretiens </w:t>
      </w:r>
      <w:r w:rsidR="001D1AC7" w:rsidRPr="00860A22">
        <w:rPr>
          <w:b/>
        </w:rPr>
        <w:t>pharmaceutiques</w:t>
      </w:r>
      <w:r w:rsidR="001D1AC7">
        <w:t> : durée, lieu, créneaux horaires libres ou définis…</w:t>
      </w:r>
    </w:p>
    <w:p w:rsidR="00835E1A" w:rsidRDefault="001D1AC7" w:rsidP="00746642">
      <w:pPr>
        <w:pStyle w:val="Paragraphedeliste"/>
        <w:numPr>
          <w:ilvl w:val="0"/>
          <w:numId w:val="5"/>
        </w:numPr>
      </w:pPr>
      <w:r w:rsidRPr="00860A22">
        <w:rPr>
          <w:b/>
        </w:rPr>
        <w:t>Education thérapeutique</w:t>
      </w:r>
      <w:r>
        <w:t xml:space="preserve"> collective/individuelle, en collaboration avec quels professionnels de santé…</w:t>
      </w:r>
    </w:p>
    <w:p w:rsidR="00D41BA4" w:rsidRPr="00860A22" w:rsidRDefault="00D41BA4" w:rsidP="00D41BA4">
      <w:pPr>
        <w:rPr>
          <w:b/>
        </w:rPr>
      </w:pPr>
      <w:r w:rsidRPr="00860A22">
        <w:rPr>
          <w:b/>
        </w:rPr>
        <w:t>L’organisation choisie peut coupler différentes méthode</w:t>
      </w:r>
      <w:r w:rsidR="00FA62B0" w:rsidRPr="00860A22">
        <w:rPr>
          <w:b/>
        </w:rPr>
        <w:t>s et les exemples donnés ci-dessus ne forment pas une liste exhaustive des méthodes possibles.</w:t>
      </w:r>
    </w:p>
    <w:p w:rsidR="00FA62B0" w:rsidRPr="00FA62B0" w:rsidRDefault="00FA62B0" w:rsidP="00860A22">
      <w:pPr>
        <w:pStyle w:val="Citation"/>
      </w:pPr>
      <w:r w:rsidRPr="00FA62B0">
        <w:sym w:font="Wingdings" w:char="F024"/>
      </w:r>
      <w:r w:rsidRPr="00FA62B0">
        <w:t xml:space="preserve"> Définir la méthode avec les autres professionnels concernés, notamment médecins et infirmiers</w:t>
      </w:r>
      <w:r w:rsidR="00513DEC">
        <w:t>,</w:t>
      </w:r>
      <w:r w:rsidRPr="00FA62B0">
        <w:t xml:space="preserve"> est recommandé pour prendre en compte les organisations préexistantes dans les services</w:t>
      </w:r>
      <w:r w:rsidR="00272A6B">
        <w:t xml:space="preserve"> et</w:t>
      </w:r>
      <w:r w:rsidRPr="00FA62B0">
        <w:t xml:space="preserve"> les équipes.</w:t>
      </w:r>
    </w:p>
    <w:p w:rsidR="00860A22" w:rsidRDefault="00860A22" w:rsidP="00835E1A">
      <w:pPr>
        <w:rPr>
          <w:color w:val="0070C0"/>
        </w:rPr>
      </w:pPr>
    </w:p>
    <w:p w:rsidR="001D1AC7" w:rsidRPr="001D1AC7" w:rsidRDefault="001D1AC7" w:rsidP="00860A22">
      <w:pPr>
        <w:pStyle w:val="Citation"/>
      </w:pPr>
      <w:r w:rsidRPr="001D1AC7">
        <w:sym w:font="Wingdings" w:char="F024"/>
      </w:r>
      <w:r w:rsidRPr="001D1AC7">
        <w:t xml:space="preserve"> Définir un planning/une organisation est indispensable dans les établissements </w:t>
      </w:r>
      <w:r w:rsidR="00272A6B">
        <w:t>lorsque</w:t>
      </w:r>
      <w:r w:rsidRPr="001D1AC7">
        <w:t xml:space="preserve"> </w:t>
      </w:r>
      <w:r w:rsidR="00D05A65">
        <w:t>plusieurs</w:t>
      </w:r>
      <w:r w:rsidRPr="001D1AC7">
        <w:t xml:space="preserve"> professionnels</w:t>
      </w:r>
      <w:r w:rsidR="00272A6B">
        <w:t xml:space="preserve"> sont</w:t>
      </w:r>
      <w:r w:rsidRPr="001D1AC7">
        <w:t xml:space="preserve"> impliqués</w:t>
      </w:r>
      <w:r>
        <w:t>.</w:t>
      </w:r>
    </w:p>
    <w:p w:rsidR="00835E1A" w:rsidRPr="00FA62B0" w:rsidRDefault="001D1AC7" w:rsidP="00FA62B0">
      <w:pPr>
        <w:pStyle w:val="Style2"/>
        <w:numPr>
          <w:ilvl w:val="0"/>
          <w:numId w:val="0"/>
        </w:numPr>
        <w:rPr>
          <w:u w:val="none"/>
        </w:rPr>
      </w:pPr>
      <w:bookmarkStart w:id="43" w:name="_Toc522549755"/>
      <w:bookmarkStart w:id="44" w:name="_Toc522624303"/>
      <w:bookmarkStart w:id="45" w:name="_Toc522624367"/>
      <w:bookmarkStart w:id="46" w:name="_Toc524602884"/>
      <w:r w:rsidRPr="00FA62B0">
        <w:rPr>
          <w:u w:val="none"/>
        </w:rPr>
        <w:t>Comment r</w:t>
      </w:r>
      <w:r w:rsidR="00FA62B0" w:rsidRPr="00FA62B0">
        <w:rPr>
          <w:u w:val="none"/>
        </w:rPr>
        <w:t>etrouver les patients ciblés ?</w:t>
      </w:r>
      <w:bookmarkEnd w:id="43"/>
      <w:bookmarkEnd w:id="44"/>
      <w:bookmarkEnd w:id="45"/>
      <w:bookmarkEnd w:id="46"/>
    </w:p>
    <w:p w:rsidR="00835E1A" w:rsidRDefault="00835E1A" w:rsidP="00746642">
      <w:pPr>
        <w:pStyle w:val="Paragraphedeliste"/>
        <w:numPr>
          <w:ilvl w:val="0"/>
          <w:numId w:val="5"/>
        </w:numPr>
      </w:pPr>
      <w:r>
        <w:t>A l’aide de filtres/requêtes informatiques automatisés</w:t>
      </w:r>
      <w:r w:rsidR="00C95F83">
        <w:t xml:space="preserve">, directement au sein du DPI ou du logiciel </w:t>
      </w:r>
      <w:r w:rsidR="008D6E92">
        <w:t>d’aide à la</w:t>
      </w:r>
      <w:r w:rsidR="00C95F83">
        <w:t xml:space="preserve"> prescription</w:t>
      </w:r>
      <w:r w:rsidR="008D6E92">
        <w:t xml:space="preserve"> (LAP)</w:t>
      </w:r>
      <w:r w:rsidR="00C95F83">
        <w:t>, ou à l’aide d’un outil externe type progiciel</w:t>
      </w:r>
    </w:p>
    <w:p w:rsidR="00FA62B0" w:rsidRDefault="00835E1A" w:rsidP="00C92717">
      <w:pPr>
        <w:pStyle w:val="Sous-titre"/>
        <w:spacing w:after="0"/>
      </w:pPr>
      <w:r>
        <w:t>Ex</w:t>
      </w:r>
      <w:r w:rsidR="00FA62B0">
        <w:t>emples :</w:t>
      </w:r>
    </w:p>
    <w:p w:rsidR="00860A22" w:rsidRDefault="00FA62B0" w:rsidP="00860A22">
      <w:pPr>
        <w:pStyle w:val="Sous-titre"/>
        <w:numPr>
          <w:ilvl w:val="0"/>
          <w:numId w:val="5"/>
        </w:numPr>
      </w:pPr>
      <w:r>
        <w:t xml:space="preserve">Requêtes informatisées issues directement du logiciel </w:t>
      </w:r>
      <w:r w:rsidR="008D6E92">
        <w:t>d’aide à la</w:t>
      </w:r>
      <w:r>
        <w:t xml:space="preserve"> prescription ou du DPI, prenant en compte les critères de ciblage préalablement définis dans la stratégie, et permettant de créer une ou des listes de travail</w:t>
      </w:r>
    </w:p>
    <w:p w:rsidR="00835E1A" w:rsidRPr="00860A22" w:rsidRDefault="00FA62B0" w:rsidP="00860A22">
      <w:pPr>
        <w:pStyle w:val="Sous-titre"/>
        <w:numPr>
          <w:ilvl w:val="0"/>
          <w:numId w:val="5"/>
        </w:numPr>
      </w:pPr>
      <w:r w:rsidRPr="00860A22">
        <w:rPr>
          <w:rFonts w:eastAsia="Times New Roman"/>
          <w:lang w:eastAsia="fr-FR"/>
        </w:rPr>
        <w:lastRenderedPageBreak/>
        <w:t>R</w:t>
      </w:r>
      <w:r w:rsidR="00835E1A" w:rsidRPr="00860A22">
        <w:rPr>
          <w:rFonts w:eastAsia="Times New Roman"/>
          <w:lang w:eastAsia="fr-FR"/>
        </w:rPr>
        <w:t>equête des patients ciblés par un logiciel dissocié du DPI</w:t>
      </w:r>
      <w:r w:rsidR="001D1AC7" w:rsidRPr="00860A22">
        <w:rPr>
          <w:rFonts w:eastAsia="Times New Roman"/>
          <w:lang w:eastAsia="fr-FR"/>
        </w:rPr>
        <w:t>, envoyé</w:t>
      </w:r>
      <w:r w:rsidRPr="00860A22">
        <w:rPr>
          <w:rFonts w:eastAsia="Times New Roman"/>
          <w:lang w:eastAsia="fr-FR"/>
        </w:rPr>
        <w:t>e</w:t>
      </w:r>
      <w:r w:rsidR="001D1AC7" w:rsidRPr="00860A22">
        <w:rPr>
          <w:rFonts w:eastAsia="Times New Roman"/>
          <w:lang w:eastAsia="fr-FR"/>
        </w:rPr>
        <w:t xml:space="preserve"> par mail tous les matins aux pharmaciens</w:t>
      </w:r>
    </w:p>
    <w:p w:rsidR="00FA62B0" w:rsidRPr="001D1AC7" w:rsidRDefault="00FA62B0" w:rsidP="001D1AC7">
      <w:pPr>
        <w:spacing w:after="0" w:line="240" w:lineRule="auto"/>
        <w:rPr>
          <w:rFonts w:eastAsia="Times New Roman"/>
          <w:lang w:eastAsia="fr-FR"/>
        </w:rPr>
      </w:pPr>
    </w:p>
    <w:p w:rsidR="00835E1A" w:rsidRDefault="00835E1A" w:rsidP="00746642">
      <w:pPr>
        <w:pStyle w:val="Paragraphedeliste"/>
        <w:numPr>
          <w:ilvl w:val="0"/>
          <w:numId w:val="5"/>
        </w:numPr>
      </w:pPr>
      <w:r>
        <w:t>A l’aide du filtre « clinique » : le médecin, l’IDE…</w:t>
      </w:r>
    </w:p>
    <w:p w:rsidR="00835E1A" w:rsidRDefault="00835E1A" w:rsidP="00860A22">
      <w:pPr>
        <w:pStyle w:val="Sous-titre"/>
      </w:pPr>
      <w:r>
        <w:t>Ex</w:t>
      </w:r>
      <w:r w:rsidR="008D6E92">
        <w:t>emple</w:t>
      </w:r>
      <w:r>
        <w:t> : ciblage des patients par les médecins lors des consultations d’oncologie</w:t>
      </w:r>
    </w:p>
    <w:p w:rsidR="00835E1A" w:rsidRDefault="00835E1A" w:rsidP="00746642">
      <w:pPr>
        <w:pStyle w:val="Paragraphedeliste"/>
        <w:numPr>
          <w:ilvl w:val="0"/>
          <w:numId w:val="5"/>
        </w:numPr>
      </w:pPr>
      <w:r>
        <w:t>Selon des critères quantifiables sous forme de scores, grilles à remplir</w:t>
      </w:r>
    </w:p>
    <w:p w:rsidR="00835E1A" w:rsidRDefault="00835E1A" w:rsidP="00860A22">
      <w:pPr>
        <w:pStyle w:val="Sous-titre"/>
      </w:pPr>
      <w:r>
        <w:t>Ex</w:t>
      </w:r>
      <w:r w:rsidR="00860A22">
        <w:t>emple</w:t>
      </w:r>
      <w:r>
        <w:t xml:space="preserve"> : </w:t>
      </w:r>
      <w:r w:rsidR="00860A22">
        <w:t>c</w:t>
      </w:r>
      <w:r w:rsidR="00D03C87">
        <w:t>iblage</w:t>
      </w:r>
      <w:r>
        <w:t xml:space="preserve"> des patients de cardiologie avec un score de CHAU</w:t>
      </w:r>
      <w:r w:rsidR="00C95F83">
        <w:t xml:space="preserve"> de Québec</w:t>
      </w:r>
      <w:r>
        <w:t xml:space="preserve"> </w:t>
      </w:r>
      <w:r w:rsidR="00513DEC">
        <w:t>≥</w:t>
      </w:r>
      <w:r>
        <w:t xml:space="preserve"> 10 </w:t>
      </w:r>
      <w:r w:rsidR="00C95F83">
        <w:t>(risque iatrogène élevé</w:t>
      </w:r>
      <w:r w:rsidR="0065734E">
        <w:rPr>
          <w:rStyle w:val="Appelnotedebasdep"/>
        </w:rPr>
        <w:footnoteReference w:id="4"/>
      </w:r>
      <w:r w:rsidR="00C95F83">
        <w:t>)</w:t>
      </w:r>
    </w:p>
    <w:p w:rsidR="00042A85" w:rsidRDefault="001D1AC7" w:rsidP="00746642">
      <w:pPr>
        <w:pStyle w:val="Style2"/>
        <w:numPr>
          <w:ilvl w:val="0"/>
          <w:numId w:val="2"/>
        </w:numPr>
      </w:pPr>
      <w:bookmarkStart w:id="47" w:name="_Toc524602885"/>
      <w:r>
        <w:t>Paramétrer l</w:t>
      </w:r>
      <w:r w:rsidR="00042A85">
        <w:t>es outils</w:t>
      </w:r>
      <w:bookmarkEnd w:id="47"/>
    </w:p>
    <w:p w:rsidR="00DD6CE0" w:rsidRDefault="00DD6CE0" w:rsidP="00DD6CE0">
      <w:r>
        <w:t xml:space="preserve">Le bon paramétrage des outils et notamment du </w:t>
      </w:r>
      <w:r w:rsidR="003D5A36">
        <w:t>LAP</w:t>
      </w:r>
      <w:r>
        <w:t xml:space="preserve"> est essentiel : Il s’agit en effet de la </w:t>
      </w:r>
      <w:r w:rsidRPr="00860A22">
        <w:rPr>
          <w:b/>
        </w:rPr>
        <w:t>1</w:t>
      </w:r>
      <w:r w:rsidRPr="00860A22">
        <w:rPr>
          <w:b/>
          <w:vertAlign w:val="superscript"/>
        </w:rPr>
        <w:t>ère</w:t>
      </w:r>
      <w:r w:rsidRPr="00860A22">
        <w:rPr>
          <w:b/>
        </w:rPr>
        <w:t xml:space="preserve"> étape pour sécuriser la prise en charge médicamenteuse.</w:t>
      </w:r>
      <w:r>
        <w:t xml:space="preserve"> Cela participe donc à la mise en place d’une activité de pharmacie clinique efficiente.</w:t>
      </w:r>
    </w:p>
    <w:p w:rsidR="00116F6D" w:rsidRDefault="00DD6CE0" w:rsidP="00EB2C41">
      <w:r>
        <w:t>Cela comporte notamment :</w:t>
      </w:r>
    </w:p>
    <w:p w:rsidR="00DD6CE0" w:rsidRPr="00860A22" w:rsidRDefault="00DD6CE0" w:rsidP="00746642">
      <w:pPr>
        <w:pStyle w:val="Paragraphedeliste"/>
        <w:numPr>
          <w:ilvl w:val="0"/>
          <w:numId w:val="5"/>
        </w:numPr>
        <w:rPr>
          <w:b/>
        </w:rPr>
      </w:pPr>
      <w:r w:rsidRPr="00860A22">
        <w:rPr>
          <w:b/>
        </w:rPr>
        <w:t>Le paramétrage des protocoles de traitement</w:t>
      </w:r>
    </w:p>
    <w:p w:rsidR="00E005F8" w:rsidRDefault="00E005F8" w:rsidP="00860A22">
      <w:pPr>
        <w:pStyle w:val="Sous-titre"/>
      </w:pPr>
      <w:r>
        <w:t>Exemple : association systématique d’un laxatif dans un protocole de traitement par opiacés</w:t>
      </w:r>
    </w:p>
    <w:p w:rsidR="00DD6CE0" w:rsidRDefault="00DD6CE0" w:rsidP="00746642">
      <w:pPr>
        <w:pStyle w:val="Paragraphedeliste"/>
        <w:numPr>
          <w:ilvl w:val="0"/>
          <w:numId w:val="5"/>
        </w:numPr>
      </w:pPr>
      <w:r w:rsidRPr="00860A22">
        <w:rPr>
          <w:b/>
        </w:rPr>
        <w:t xml:space="preserve">La proposition automatique de </w:t>
      </w:r>
      <w:r w:rsidR="00E005F8" w:rsidRPr="00860A22">
        <w:rPr>
          <w:b/>
        </w:rPr>
        <w:t xml:space="preserve">médicaments au livret thérapeutique de l’établissement, et de </w:t>
      </w:r>
      <w:r w:rsidRPr="00860A22">
        <w:rPr>
          <w:b/>
        </w:rPr>
        <w:t>schémas thérapeutiques validés</w:t>
      </w:r>
      <w:r>
        <w:t xml:space="preserve"> (proposés en priorité par rapport à des schémas thérapeutiques non validés), </w:t>
      </w:r>
      <w:r w:rsidR="00E005F8">
        <w:t>si possible</w:t>
      </w:r>
      <w:r>
        <w:t xml:space="preserve"> en tenant compte des données clinico-biologiques du patient</w:t>
      </w:r>
    </w:p>
    <w:p w:rsidR="00DD6CE0" w:rsidRDefault="00DD6CE0" w:rsidP="00860A22">
      <w:pPr>
        <w:pStyle w:val="Sous-titre"/>
      </w:pPr>
      <w:r>
        <w:t>Exemple : proposition</w:t>
      </w:r>
      <w:r w:rsidR="00E74FA1">
        <w:t xml:space="preserve"> </w:t>
      </w:r>
      <w:r>
        <w:t>automatique d’un schéma de paracétamol à 3g/jour pour un patient âgé.</w:t>
      </w:r>
    </w:p>
    <w:p w:rsidR="00DD6CE0" w:rsidRDefault="00DD6CE0" w:rsidP="00746642">
      <w:pPr>
        <w:pStyle w:val="Paragraphedeliste"/>
        <w:numPr>
          <w:ilvl w:val="0"/>
          <w:numId w:val="5"/>
        </w:numPr>
      </w:pPr>
      <w:r w:rsidRPr="00860A22">
        <w:rPr>
          <w:b/>
        </w:rPr>
        <w:t>Le paramétrage des alertes visant à aider le médecin dans sa prescription</w:t>
      </w:r>
      <w:r w:rsidR="00E005F8" w:rsidRPr="00860A22">
        <w:rPr>
          <w:b/>
        </w:rPr>
        <w:t>,</w:t>
      </w:r>
      <w:r w:rsidR="00E005F8" w:rsidRPr="00E005F8">
        <w:t xml:space="preserve"> </w:t>
      </w:r>
      <w:r w:rsidR="00E005F8">
        <w:t>si possible en tenant compte des données clinico-biologiques du patient</w:t>
      </w:r>
    </w:p>
    <w:p w:rsidR="00860A22" w:rsidRDefault="00860A22" w:rsidP="00860A22">
      <w:pPr>
        <w:pStyle w:val="Sous-titre"/>
      </w:pPr>
      <w:r>
        <w:t xml:space="preserve">Exemples : </w:t>
      </w:r>
    </w:p>
    <w:p w:rsidR="00D05A65" w:rsidRDefault="00D05A65" w:rsidP="00860A22">
      <w:pPr>
        <w:pStyle w:val="Sous-titre"/>
        <w:numPr>
          <w:ilvl w:val="0"/>
          <w:numId w:val="5"/>
        </w:numPr>
      </w:pPr>
      <w:r>
        <w:t>Alerte sur les ruptures de stock</w:t>
      </w:r>
    </w:p>
    <w:p w:rsidR="001F7A2F" w:rsidRDefault="00860A22" w:rsidP="00860A22">
      <w:pPr>
        <w:pStyle w:val="Sous-titre"/>
        <w:numPr>
          <w:ilvl w:val="0"/>
          <w:numId w:val="5"/>
        </w:numPr>
      </w:pPr>
      <w:r>
        <w:t>P</w:t>
      </w:r>
      <w:r w:rsidR="00E005F8">
        <w:t>osologie qui semble aberrante par rapport à la pratique usuelle (plus de</w:t>
      </w:r>
      <w:r w:rsidR="001F7A2F">
        <w:t xml:space="preserve"> 10 comprimés pour une prise…)</w:t>
      </w:r>
    </w:p>
    <w:p w:rsidR="001F7A2F" w:rsidRDefault="001F7A2F" w:rsidP="00860A22">
      <w:pPr>
        <w:pStyle w:val="Sous-titre"/>
        <w:numPr>
          <w:ilvl w:val="0"/>
          <w:numId w:val="5"/>
        </w:numPr>
      </w:pPr>
      <w:r>
        <w:t>P</w:t>
      </w:r>
      <w:r w:rsidR="00E005F8">
        <w:t>roposition de substitution automatique au sein d’une classe thérapeutique pour coïncider avec le livret th</w:t>
      </w:r>
      <w:r>
        <w:t>érapeutique de l’établissement</w:t>
      </w:r>
    </w:p>
    <w:p w:rsidR="001F7A2F" w:rsidRDefault="001F7A2F" w:rsidP="00860A22">
      <w:pPr>
        <w:pStyle w:val="Sous-titre"/>
        <w:numPr>
          <w:ilvl w:val="0"/>
          <w:numId w:val="5"/>
        </w:numPr>
      </w:pPr>
      <w:r>
        <w:t>A</w:t>
      </w:r>
      <w:r w:rsidR="00E005F8">
        <w:t xml:space="preserve">lerte sur la prescription de </w:t>
      </w:r>
      <w:r w:rsidR="00E74FA1">
        <w:t>V</w:t>
      </w:r>
      <w:r w:rsidR="00D05A65">
        <w:t>alproate et dérivés</w:t>
      </w:r>
      <w:r w:rsidR="00E005F8">
        <w:t xml:space="preserve"> chez une femme en âge de procréer</w:t>
      </w:r>
    </w:p>
    <w:p w:rsidR="00E005F8" w:rsidRDefault="001F7A2F" w:rsidP="001F7A2F">
      <w:pPr>
        <w:pStyle w:val="Sous-titre"/>
        <w:numPr>
          <w:ilvl w:val="0"/>
          <w:numId w:val="0"/>
        </w:numPr>
        <w:ind w:left="360"/>
      </w:pPr>
      <w:r>
        <w:t>Etc.</w:t>
      </w:r>
      <w:r w:rsidR="00E005F8">
        <w:t xml:space="preserve"> </w:t>
      </w:r>
    </w:p>
    <w:p w:rsidR="003D5A36" w:rsidRPr="001F7A2F" w:rsidRDefault="003D5A36" w:rsidP="00746642">
      <w:pPr>
        <w:pStyle w:val="Paragraphedeliste"/>
        <w:numPr>
          <w:ilvl w:val="0"/>
          <w:numId w:val="5"/>
        </w:numPr>
        <w:rPr>
          <w:b/>
        </w:rPr>
      </w:pPr>
      <w:r w:rsidRPr="001F7A2F">
        <w:rPr>
          <w:b/>
        </w:rPr>
        <w:t xml:space="preserve"> Le paramétrage des alertes lors de campagnes ciblées</w:t>
      </w:r>
    </w:p>
    <w:p w:rsidR="001F7A2F" w:rsidRDefault="003D5A36" w:rsidP="001F7A2F">
      <w:pPr>
        <w:pStyle w:val="Sous-titre"/>
      </w:pPr>
      <w:r>
        <w:lastRenderedPageBreak/>
        <w:t>Exemple</w:t>
      </w:r>
      <w:r w:rsidR="001F7A2F">
        <w:t>s</w:t>
      </w:r>
      <w:r>
        <w:t xml:space="preserve"> : </w:t>
      </w:r>
    </w:p>
    <w:p w:rsidR="001F7A2F" w:rsidRDefault="001F7A2F" w:rsidP="001F7A2F">
      <w:pPr>
        <w:pStyle w:val="Sous-titre"/>
        <w:numPr>
          <w:ilvl w:val="0"/>
          <w:numId w:val="5"/>
        </w:numPr>
      </w:pPr>
      <w:r>
        <w:t>D</w:t>
      </w:r>
      <w:r w:rsidR="003D5A36">
        <w:t>éprescription</w:t>
      </w:r>
      <w:r w:rsidR="00246350">
        <w:t xml:space="preserve"> des IPP chez les patients traités au long cours par AINS/aspirine,</w:t>
      </w:r>
      <w:r>
        <w:t> </w:t>
      </w:r>
    </w:p>
    <w:p w:rsidR="003D5A36" w:rsidRDefault="001F7A2F" w:rsidP="001F7A2F">
      <w:pPr>
        <w:pStyle w:val="Sous-titre"/>
        <w:numPr>
          <w:ilvl w:val="0"/>
          <w:numId w:val="5"/>
        </w:numPr>
      </w:pPr>
      <w:r>
        <w:t>N</w:t>
      </w:r>
      <w:r w:rsidR="00246350">
        <w:t>on prescription d’un médicament par voie injectable si la voie orale est possible</w:t>
      </w:r>
    </w:p>
    <w:p w:rsidR="00DD6CE0" w:rsidRPr="0067778C" w:rsidRDefault="0067778C" w:rsidP="001F7A2F">
      <w:pPr>
        <w:pStyle w:val="Citation"/>
      </w:pPr>
      <w:r w:rsidRPr="00E005F8">
        <w:sym w:font="Wingdings" w:char="F024"/>
      </w:r>
      <w:r>
        <w:t xml:space="preserve"> </w:t>
      </w:r>
      <w:r w:rsidR="00DD6CE0" w:rsidRPr="0067778C">
        <w:t>Il est fortement  recommandé que le</w:t>
      </w:r>
      <w:r w:rsidR="00272A6B">
        <w:t>(s)</w:t>
      </w:r>
      <w:r w:rsidR="00DD6CE0" w:rsidRPr="0067778C">
        <w:t xml:space="preserve"> pharmacien</w:t>
      </w:r>
      <w:r w:rsidR="00272A6B">
        <w:t>(s)</w:t>
      </w:r>
      <w:r w:rsidR="00DD6CE0" w:rsidRPr="0067778C">
        <w:t xml:space="preserve"> clinicien</w:t>
      </w:r>
      <w:r w:rsidR="00272A6B">
        <w:t>(s)</w:t>
      </w:r>
      <w:r w:rsidR="00DD6CE0" w:rsidRPr="0067778C">
        <w:t xml:space="preserve"> participe</w:t>
      </w:r>
      <w:r w:rsidR="00272A6B">
        <w:t>(nt)</w:t>
      </w:r>
      <w:r w:rsidR="00DD6CE0" w:rsidRPr="0067778C">
        <w:t xml:space="preserve"> à ces différents paramétrages dans son établissement</w:t>
      </w:r>
      <w:r w:rsidR="00932A64">
        <w:t>, en lien avec le service informatique</w:t>
      </w:r>
      <w:r w:rsidR="00BB10C6">
        <w:t xml:space="preserve"> et/ou les référents médicaux et </w:t>
      </w:r>
      <w:r w:rsidR="008D6E92">
        <w:t>paramédicaux</w:t>
      </w:r>
      <w:r w:rsidR="00DD6CE0" w:rsidRPr="0067778C">
        <w:t>.</w:t>
      </w:r>
    </w:p>
    <w:p w:rsidR="001F7A2F" w:rsidRDefault="001F7A2F" w:rsidP="00EB2C41">
      <w:pPr>
        <w:rPr>
          <w:color w:val="0070C0"/>
        </w:rPr>
      </w:pPr>
    </w:p>
    <w:p w:rsidR="00E005F8" w:rsidRPr="00E005F8" w:rsidRDefault="00E005F8" w:rsidP="001F7A2F">
      <w:pPr>
        <w:pStyle w:val="Citation"/>
      </w:pPr>
      <w:r w:rsidRPr="00E005F8">
        <w:sym w:font="Wingdings" w:char="F024"/>
      </w:r>
      <w:r w:rsidRPr="00E005F8">
        <w:t xml:space="preserve"> Un paramétrage efficace permet de</w:t>
      </w:r>
      <w:r w:rsidR="00D05A65">
        <w:t xml:space="preserve"> faciliter et sécuriser les prescriptions récurrentes, et de</w:t>
      </w:r>
      <w:r w:rsidRPr="00E005F8">
        <w:t xml:space="preserve"> gérer en amont des situations telles que</w:t>
      </w:r>
      <w:r w:rsidR="00D05A65">
        <w:t xml:space="preserve"> les ruptures,</w:t>
      </w:r>
      <w:r w:rsidRPr="00E005F8">
        <w:t xml:space="preserve"> la substitution par rapport au livret thérapeutique, l’adaptation posologique, la sur- ou la sous prescription etc.</w:t>
      </w:r>
    </w:p>
    <w:p w:rsidR="00C92717" w:rsidRDefault="00C92717" w:rsidP="00C92717">
      <w:pPr>
        <w:pStyle w:val="Style2"/>
        <w:numPr>
          <w:ilvl w:val="0"/>
          <w:numId w:val="0"/>
        </w:numPr>
        <w:ind w:left="720"/>
      </w:pPr>
      <w:bookmarkStart w:id="48" w:name="_Toc524602886"/>
    </w:p>
    <w:p w:rsidR="00042A85" w:rsidRDefault="001D1AC7" w:rsidP="00746642">
      <w:pPr>
        <w:pStyle w:val="Style2"/>
        <w:numPr>
          <w:ilvl w:val="0"/>
          <w:numId w:val="2"/>
        </w:numPr>
      </w:pPr>
      <w:r>
        <w:t>Former l</w:t>
      </w:r>
      <w:r w:rsidR="00042A85">
        <w:t>es équipes opérationnelles</w:t>
      </w:r>
      <w:bookmarkEnd w:id="48"/>
    </w:p>
    <w:p w:rsidR="0067778C" w:rsidRDefault="0067778C" w:rsidP="003768DC">
      <w:r>
        <w:t xml:space="preserve">Les professionnels impliqués dans la mise en œuvre de la pharmacie clinique doivent être au préalable formés. </w:t>
      </w:r>
    </w:p>
    <w:p w:rsidR="0065734E" w:rsidRDefault="0065734E" w:rsidP="003768DC">
      <w:r>
        <w:t>F</w:t>
      </w:r>
      <w:r w:rsidR="0067778C">
        <w:t>ormations</w:t>
      </w:r>
      <w:r>
        <w:t xml:space="preserve"> pour l’acquisition des compétences techniques (savoir réaliser les activités de pharmacie clinique) et autres (compétences</w:t>
      </w:r>
      <w:r w:rsidR="009345CB">
        <w:t xml:space="preserve"> relationnelles, communication</w:t>
      </w:r>
      <w:r>
        <w:t>…) :</w:t>
      </w:r>
    </w:p>
    <w:p w:rsidR="0065734E" w:rsidRDefault="0065734E" w:rsidP="0065734E">
      <w:pPr>
        <w:pStyle w:val="Paragraphedeliste"/>
        <w:numPr>
          <w:ilvl w:val="0"/>
          <w:numId w:val="5"/>
        </w:numPr>
      </w:pPr>
      <w:r w:rsidRPr="0067778C">
        <w:t>Formations régionales proposées par l’OMEDIT : analyse pharmaceutique, conciliation médicamenteuse</w:t>
      </w:r>
      <w:r>
        <w:t xml:space="preserve"> : </w:t>
      </w:r>
      <w:hyperlink r:id="rId16" w:history="1">
        <w:r w:rsidRPr="009345CB">
          <w:rPr>
            <w:rStyle w:val="Lienhypertexte"/>
            <w:color w:val="034EA2"/>
          </w:rPr>
          <w:t>http://www.omedit-paysdelaloire.fr/fr/formations</w:t>
        </w:r>
      </w:hyperlink>
    </w:p>
    <w:p w:rsidR="0067778C" w:rsidRDefault="0065734E" w:rsidP="0065734E">
      <w:pPr>
        <w:pStyle w:val="Paragraphedeliste"/>
        <w:numPr>
          <w:ilvl w:val="0"/>
          <w:numId w:val="5"/>
        </w:numPr>
      </w:pPr>
      <w:r>
        <w:t>D</w:t>
      </w:r>
      <w:r w:rsidR="0067778C">
        <w:t>iplômes universitaires, formations à l’éducation thérapeutique (40h minimum sont exigées pour pouvoir animer une séance d’éducation thérapeutique)…</w:t>
      </w:r>
    </w:p>
    <w:p w:rsidR="0065734E" w:rsidRPr="003924B6" w:rsidRDefault="0065734E" w:rsidP="003768DC">
      <w:pPr>
        <w:rPr>
          <w:b/>
          <w:iCs/>
        </w:rPr>
      </w:pPr>
      <w:r>
        <w:t xml:space="preserve">Prévoir également la formation </w:t>
      </w:r>
      <w:r w:rsidR="003924B6">
        <w:t xml:space="preserve">continue </w:t>
      </w:r>
      <w:r>
        <w:t>en interne, à l’aide d’outils (cas cliniques, jeux, mises en situations, ateliers…) et en utilisant le retour d’expérience local</w:t>
      </w:r>
      <w:r w:rsidR="003924B6">
        <w:t xml:space="preserve"> (réunions régulières avec échanges de pratiques…)</w:t>
      </w:r>
      <w:r>
        <w:t>.</w:t>
      </w:r>
      <w:r w:rsidR="003924B6">
        <w:t xml:space="preserve"> </w:t>
      </w:r>
      <w:r w:rsidR="003924B6" w:rsidRPr="001F7A2F">
        <w:rPr>
          <w:rStyle w:val="Accentuation"/>
          <w:b/>
          <w:i w:val="0"/>
        </w:rPr>
        <w:t>Autant que possible, les pratiques seront harmonisées entre les professionnels.</w:t>
      </w:r>
    </w:p>
    <w:p w:rsidR="0065734E" w:rsidRDefault="0065734E" w:rsidP="0065734E">
      <w:pPr>
        <w:pStyle w:val="Citation"/>
      </w:pPr>
      <w:r w:rsidRPr="00E005F8">
        <w:sym w:font="Wingdings" w:char="F024"/>
      </w:r>
      <w:r w:rsidRPr="00E005F8">
        <w:t xml:space="preserve"> </w:t>
      </w:r>
      <w:r>
        <w:t>Prévoir en amont le budget nécessaire pour la formation des professionnels.</w:t>
      </w:r>
    </w:p>
    <w:p w:rsidR="00C92717" w:rsidRDefault="00C92717" w:rsidP="00C92717">
      <w:pPr>
        <w:pStyle w:val="Style2"/>
        <w:numPr>
          <w:ilvl w:val="0"/>
          <w:numId w:val="0"/>
        </w:numPr>
        <w:ind w:left="720"/>
      </w:pPr>
      <w:bookmarkStart w:id="49" w:name="_Toc524602887"/>
    </w:p>
    <w:p w:rsidR="00042A85" w:rsidRDefault="001D1AC7" w:rsidP="00746642">
      <w:pPr>
        <w:pStyle w:val="Style2"/>
        <w:numPr>
          <w:ilvl w:val="0"/>
          <w:numId w:val="2"/>
        </w:numPr>
      </w:pPr>
      <w:r>
        <w:t>Communiquer sur</w:t>
      </w:r>
      <w:r w:rsidR="00042A85">
        <w:t xml:space="preserve"> la stratégie</w:t>
      </w:r>
      <w:bookmarkEnd w:id="49"/>
    </w:p>
    <w:p w:rsidR="003768DC" w:rsidRDefault="0067778C" w:rsidP="003768DC">
      <w:r>
        <w:t xml:space="preserve">Une fois validée et avant </w:t>
      </w:r>
      <w:r w:rsidR="008D6E92">
        <w:t xml:space="preserve">mise en </w:t>
      </w:r>
      <w:r w:rsidR="001F7A2F">
        <w:t>œuvre</w:t>
      </w:r>
      <w:r>
        <w:t xml:space="preserve">, il s’agit de </w:t>
      </w:r>
      <w:r w:rsidR="00932A64">
        <w:t xml:space="preserve">partager et de </w:t>
      </w:r>
      <w:r>
        <w:t>communiquer auprès de l’ensemble de la communauté hospitalière :</w:t>
      </w:r>
      <w:r w:rsidR="003768DC" w:rsidRPr="003768DC">
        <w:t xml:space="preserve"> </w:t>
      </w:r>
      <w:r w:rsidR="00932A64">
        <w:t xml:space="preserve">direction, </w:t>
      </w:r>
      <w:r w:rsidR="003768DC" w:rsidRPr="003768DC">
        <w:t>COMEDIMS, CME</w:t>
      </w:r>
      <w:r>
        <w:t xml:space="preserve">, direction des soins infirmiers, direction financière, </w:t>
      </w:r>
      <w:r w:rsidR="00932A64">
        <w:t>service informatique</w:t>
      </w:r>
      <w:r w:rsidR="009345CB">
        <w:t>,</w:t>
      </w:r>
      <w:r w:rsidR="003768DC" w:rsidRPr="003768DC">
        <w:t xml:space="preserve"> </w:t>
      </w:r>
      <w:r w:rsidR="00932A64">
        <w:t>etc.</w:t>
      </w:r>
    </w:p>
    <w:p w:rsidR="00932A64" w:rsidRPr="00932A64" w:rsidRDefault="00932A64" w:rsidP="001F7A2F">
      <w:pPr>
        <w:pStyle w:val="Citation"/>
      </w:pPr>
      <w:r w:rsidRPr="00932A64">
        <w:sym w:font="Wingdings" w:char="F024"/>
      </w:r>
      <w:r w:rsidRPr="00932A64">
        <w:t xml:space="preserve">  La démarche de priorisation paraît rationnelle pour les professionnels de santé et notamment les médecins</w:t>
      </w:r>
      <w:r>
        <w:t xml:space="preserve">, et efficiente pour les directions. L’objectif est de les faire adhérer à la </w:t>
      </w:r>
      <w:r>
        <w:lastRenderedPageBreak/>
        <w:t xml:space="preserve">démarche, ce qui implique qu’ils soient associés en amont à l’élaboration de la stratégie (cf. </w:t>
      </w:r>
      <w:r w:rsidR="00F93ED2">
        <w:t>« </w:t>
      </w:r>
      <w:r w:rsidR="00A250F3">
        <w:t xml:space="preserve">à qui s’adresse ce guide et </w:t>
      </w:r>
      <w:r w:rsidR="00F93ED2">
        <w:t xml:space="preserve">comment </w:t>
      </w:r>
      <w:r w:rsidR="00A250F3">
        <w:t>l’</w:t>
      </w:r>
      <w:r w:rsidR="00F93ED2">
        <w:t>utiliser</w:t>
      </w:r>
      <w:r w:rsidR="00A250F3">
        <w:t> ?</w:t>
      </w:r>
      <w:r w:rsidR="00F93ED2">
        <w:t> »)</w:t>
      </w:r>
    </w:p>
    <w:p w:rsidR="00932A64" w:rsidRDefault="00932A64" w:rsidP="003768DC">
      <w:r>
        <w:t>Cette communication est à faire d</w:t>
      </w:r>
      <w:r w:rsidR="00596547">
        <w:t>e façon régulière</w:t>
      </w:r>
      <w:r>
        <w:t xml:space="preserve"> (fréquence à définir au sein de chaque structure) et à envisager sous différents formats éventuellement :</w:t>
      </w:r>
    </w:p>
    <w:p w:rsidR="00932A64" w:rsidRDefault="00932A64" w:rsidP="00746642">
      <w:pPr>
        <w:pStyle w:val="Paragraphedeliste"/>
        <w:numPr>
          <w:ilvl w:val="0"/>
          <w:numId w:val="5"/>
        </w:numPr>
      </w:pPr>
      <w:r>
        <w:t xml:space="preserve">Communication via l’intranet, par liste de diffusion, par </w:t>
      </w:r>
      <w:r w:rsidR="00215393">
        <w:t>courrier interne, via les</w:t>
      </w:r>
      <w:r>
        <w:t xml:space="preserve"> newsletters</w:t>
      </w:r>
    </w:p>
    <w:p w:rsidR="00596547" w:rsidRDefault="00A250F3" w:rsidP="00746642">
      <w:pPr>
        <w:pStyle w:val="Paragraphedeliste"/>
        <w:numPr>
          <w:ilvl w:val="0"/>
          <w:numId w:val="5"/>
        </w:numPr>
      </w:pPr>
      <w:r>
        <w:t>D</w:t>
      </w:r>
      <w:r w:rsidR="00932A64">
        <w:t>es événements tels que la semaine sécurité patients</w:t>
      </w:r>
    </w:p>
    <w:p w:rsidR="00932A64" w:rsidRPr="00215393" w:rsidRDefault="00215393" w:rsidP="001F7A2F">
      <w:pPr>
        <w:pStyle w:val="Citation"/>
      </w:pPr>
      <w:r w:rsidRPr="00215393">
        <w:sym w:font="Wingdings" w:char="F024"/>
      </w:r>
      <w:r w:rsidRPr="00215393">
        <w:t xml:space="preserve"> L</w:t>
      </w:r>
      <w:r w:rsidR="00932A64" w:rsidRPr="00215393">
        <w:t>a meilleure communication consiste à rencontrer directement les professionnels de santé</w:t>
      </w:r>
      <w:r w:rsidR="008D6E92">
        <w:t xml:space="preserve"> impliqués</w:t>
      </w:r>
      <w:r>
        <w:t>.</w:t>
      </w:r>
    </w:p>
    <w:p w:rsidR="00C92717" w:rsidRDefault="00C92717" w:rsidP="00C92717">
      <w:pPr>
        <w:pStyle w:val="Style2"/>
        <w:numPr>
          <w:ilvl w:val="0"/>
          <w:numId w:val="0"/>
        </w:numPr>
        <w:ind w:left="720"/>
      </w:pPr>
      <w:bookmarkStart w:id="50" w:name="_Toc524602888"/>
    </w:p>
    <w:p w:rsidR="0033307C" w:rsidRDefault="001D1AC7" w:rsidP="00746642">
      <w:pPr>
        <w:pStyle w:val="Style2"/>
        <w:numPr>
          <w:ilvl w:val="0"/>
          <w:numId w:val="2"/>
        </w:numPr>
      </w:pPr>
      <w:r>
        <w:t>Etablir un p</w:t>
      </w:r>
      <w:r w:rsidR="00042A85">
        <w:t>lanning de déploiement</w:t>
      </w:r>
      <w:bookmarkEnd w:id="50"/>
    </w:p>
    <w:p w:rsidR="008D6E92" w:rsidRDefault="001D1AC7" w:rsidP="0033307C">
      <w:pPr>
        <w:pStyle w:val="Paragraphe"/>
      </w:pPr>
      <w:r>
        <w:t xml:space="preserve">A partir des objectifs stratégiques validés au niveau institutionnel, </w:t>
      </w:r>
      <w:r w:rsidR="00B024AB">
        <w:t xml:space="preserve">il s’agit de </w:t>
      </w:r>
      <w:r>
        <w:t xml:space="preserve">décliner des objectifs opérationnels </w:t>
      </w:r>
      <w:r w:rsidR="008D6E92">
        <w:t>(</w:t>
      </w:r>
      <w:r w:rsidR="00042A85">
        <w:t>=</w:t>
      </w:r>
      <w:r>
        <w:t xml:space="preserve"> </w:t>
      </w:r>
      <w:r w:rsidR="00042A85">
        <w:t>ce que je vais faire</w:t>
      </w:r>
      <w:r w:rsidR="008D6E92">
        <w:t>)</w:t>
      </w:r>
      <w:r w:rsidR="00596547">
        <w:t>,</w:t>
      </w:r>
      <w:r w:rsidR="00B024AB">
        <w:t xml:space="preserve"> selon quelles étapes</w:t>
      </w:r>
      <w:r w:rsidR="00596547">
        <w:t xml:space="preserve"> et</w:t>
      </w:r>
      <w:r>
        <w:t xml:space="preserve"> à quelle échéance</w:t>
      </w:r>
      <w:r w:rsidR="008D6E92">
        <w:t>.</w:t>
      </w:r>
    </w:p>
    <w:p w:rsidR="00042A85" w:rsidRPr="006A30F1" w:rsidRDefault="00B024AB" w:rsidP="006A30F1">
      <w:pPr>
        <w:pStyle w:val="Paragraphe"/>
        <w:rPr>
          <w:b/>
        </w:rPr>
      </w:pPr>
      <w:r>
        <w:t>La mise en place de</w:t>
      </w:r>
      <w:r w:rsidR="008D6E92">
        <w:t>s activités de</w:t>
      </w:r>
      <w:r>
        <w:t xml:space="preserve"> pharmacie clinique peut se faire progressivement.</w:t>
      </w:r>
    </w:p>
    <w:p w:rsidR="006A30F1" w:rsidRDefault="006A30F1">
      <w:pPr>
        <w:spacing w:after="0" w:line="240" w:lineRule="auto"/>
        <w:jc w:val="left"/>
        <w:rPr>
          <w:b/>
          <w:color w:val="034EA2"/>
          <w:sz w:val="32"/>
        </w:rPr>
      </w:pPr>
      <w:r>
        <w:br w:type="page"/>
      </w:r>
    </w:p>
    <w:p w:rsidR="00042A85" w:rsidRPr="006150BF" w:rsidRDefault="00042A85" w:rsidP="00042A85">
      <w:pPr>
        <w:pStyle w:val="Style1"/>
      </w:pPr>
      <w:bookmarkStart w:id="51" w:name="_Toc524602889"/>
      <w:r>
        <w:lastRenderedPageBreak/>
        <w:t>EVALUER SA STRATEGIE DE</w:t>
      </w:r>
      <w:r w:rsidRPr="006150BF">
        <w:t xml:space="preserve"> PHARMACIE CLINIQUE</w:t>
      </w:r>
      <w:bookmarkEnd w:id="51"/>
    </w:p>
    <w:p w:rsidR="00042A85" w:rsidRDefault="00042A85" w:rsidP="00042A85">
      <w:pPr>
        <w:spacing w:after="0"/>
        <w:rPr>
          <w:b/>
          <w:color w:val="034EA2"/>
          <w:u w:val="single"/>
        </w:rPr>
      </w:pPr>
    </w:p>
    <w:p w:rsidR="00042A85" w:rsidRDefault="00042A85" w:rsidP="00042A85">
      <w:pPr>
        <w:spacing w:after="0"/>
        <w:rPr>
          <w:b/>
          <w:color w:val="034EA2"/>
          <w:u w:val="single"/>
        </w:rPr>
      </w:pPr>
    </w:p>
    <w:p w:rsidR="00042A85" w:rsidRDefault="00042A85" w:rsidP="00746642">
      <w:pPr>
        <w:pStyle w:val="Style2"/>
        <w:numPr>
          <w:ilvl w:val="0"/>
          <w:numId w:val="3"/>
        </w:numPr>
      </w:pPr>
      <w:bookmarkStart w:id="52" w:name="_Toc524602890"/>
      <w:r>
        <w:t>Indicateurs CAQES</w:t>
      </w:r>
      <w:bookmarkEnd w:id="52"/>
    </w:p>
    <w:p w:rsidR="00B024AB" w:rsidRDefault="00B024AB" w:rsidP="00255C2E">
      <w:r>
        <w:t>Nous rappelons ici les indicateurs issus du CAQES se rapportant à la pharmacie clinique :</w:t>
      </w:r>
    </w:p>
    <w:p w:rsidR="009C1D0F" w:rsidRPr="00B024AB" w:rsidRDefault="009C1D0F" w:rsidP="005F2452">
      <w:pPr>
        <w:contextualSpacing/>
        <w:rPr>
          <w:b/>
        </w:rPr>
      </w:pPr>
      <w:r w:rsidRPr="00B024AB">
        <w:rPr>
          <w:b/>
        </w:rPr>
        <w:t xml:space="preserve">REG_28 : Mise en œuvre d'une </w:t>
      </w:r>
      <w:r w:rsidRPr="006A2F50">
        <w:rPr>
          <w:b/>
          <w:u w:val="single"/>
        </w:rPr>
        <w:t>stratégie</w:t>
      </w:r>
      <w:r w:rsidRPr="00B024AB">
        <w:rPr>
          <w:b/>
        </w:rPr>
        <w:t xml:space="preserve"> de déploiement de la pharmacie clinique </w:t>
      </w:r>
      <w:r w:rsidRPr="006A2F50">
        <w:rPr>
          <w:b/>
          <w:u w:val="single"/>
        </w:rPr>
        <w:t>intégrée à la politique</w:t>
      </w:r>
      <w:r w:rsidRPr="00B024AB">
        <w:rPr>
          <w:b/>
        </w:rPr>
        <w:t xml:space="preserve"> de management de la PECM</w:t>
      </w:r>
    </w:p>
    <w:p w:rsidR="000C158C" w:rsidRPr="00B024AB" w:rsidRDefault="009D5C70" w:rsidP="00FC6B1B">
      <w:pPr>
        <w:rPr>
          <w:b/>
        </w:rPr>
      </w:pPr>
      <w:r>
        <w:rPr>
          <w:b/>
          <w:noProof/>
          <w:lang w:eastAsia="fr-FR"/>
        </w:rPr>
        <mc:AlternateContent>
          <mc:Choice Requires="wpg">
            <w:drawing>
              <wp:inline distT="0" distB="0" distL="0" distR="0" wp14:anchorId="18784336" wp14:editId="58B73A12">
                <wp:extent cx="6096000" cy="1000125"/>
                <wp:effectExtent l="76200" t="57150" r="76200" b="104775"/>
                <wp:docPr id="13" name="Groupe 13"/>
                <wp:cNvGraphicFramePr/>
                <a:graphic xmlns:a="http://schemas.openxmlformats.org/drawingml/2006/main">
                  <a:graphicData uri="http://schemas.microsoft.com/office/word/2010/wordprocessingGroup">
                    <wpg:wgp>
                      <wpg:cNvGrpSpPr/>
                      <wpg:grpSpPr>
                        <a:xfrm>
                          <a:off x="0" y="0"/>
                          <a:ext cx="6096000" cy="1000125"/>
                          <a:chOff x="0" y="0"/>
                          <a:chExt cx="6096000" cy="1069340"/>
                        </a:xfrm>
                      </wpg:grpSpPr>
                      <wps:wsp>
                        <wps:cNvPr id="6" name="Rectangle à coins arrondis 5"/>
                        <wps:cNvSpPr/>
                        <wps:spPr>
                          <a:xfrm>
                            <a:off x="2647950" y="0"/>
                            <a:ext cx="3448050" cy="1069340"/>
                          </a:xfrm>
                          <a:prstGeom prst="roundRect">
                            <a:avLst/>
                          </a:prstGeom>
                          <a:solidFill>
                            <a:srgbClr val="8DC63F"/>
                          </a:solidFill>
                          <a:ln w="38100" cap="flat" cmpd="sng" algn="ctr">
                            <a:solidFill>
                              <a:sysClr val="window" lastClr="FFFFFF"/>
                            </a:solidFill>
                            <a:prstDash val="solid"/>
                          </a:ln>
                          <a:effectLst>
                            <a:outerShdw blurRad="40000" dist="20000" dir="5400000" rotWithShape="0">
                              <a:srgbClr val="000000">
                                <a:alpha val="38000"/>
                              </a:srgbClr>
                            </a:outerShdw>
                          </a:effectLst>
                        </wps:spPr>
                        <wps:txbx>
                          <w:txbxContent>
                            <w:p w:rsidR="00986060" w:rsidRPr="00255C2E" w:rsidRDefault="00986060" w:rsidP="00255C2E">
                              <w:pPr>
                                <w:pStyle w:val="NormalWeb"/>
                                <w:spacing w:before="0" w:beforeAutospacing="0" w:after="0" w:afterAutospacing="0"/>
                                <w:rPr>
                                  <w:sz w:val="18"/>
                                </w:rPr>
                              </w:pPr>
                              <w:r w:rsidRPr="00255C2E">
                                <w:rPr>
                                  <w:rFonts w:ascii="Calibri" w:hAnsi="Calibri" w:cs="Arial"/>
                                  <w:b/>
                                  <w:bCs/>
                                  <w:color w:val="FFFFFF"/>
                                  <w:sz w:val="22"/>
                                  <w:szCs w:val="32"/>
                                </w:rPr>
                                <w:t>A renseigner dans les RE</w:t>
                              </w:r>
                            </w:p>
                            <w:p w:rsidR="00986060" w:rsidRPr="008D6E92" w:rsidRDefault="00986060" w:rsidP="008D6E92">
                              <w:pPr>
                                <w:spacing w:after="0" w:line="240" w:lineRule="auto"/>
                                <w:rPr>
                                  <w:rFonts w:eastAsia="Times New Roman"/>
                                </w:rPr>
                              </w:pPr>
                              <w:r w:rsidRPr="008D6E92">
                                <w:rPr>
                                  <w:rFonts w:cs="Arial"/>
                                  <w:color w:val="FFFFFF"/>
                                  <w:szCs w:val="32"/>
                                </w:rPr>
                                <w:t>Indicateur binaire : oui/non</w:t>
                              </w:r>
                            </w:p>
                            <w:p w:rsidR="00986060" w:rsidRPr="008D6E92" w:rsidRDefault="00986060" w:rsidP="008D6E92">
                              <w:pPr>
                                <w:spacing w:after="0" w:line="240" w:lineRule="auto"/>
                                <w:rPr>
                                  <w:rFonts w:eastAsia="Times New Roman"/>
                                </w:rPr>
                              </w:pPr>
                              <w:r w:rsidRPr="008D6E92">
                                <w:rPr>
                                  <w:rFonts w:cs="Arial"/>
                                  <w:color w:val="FFFFFF"/>
                                  <w:szCs w:val="32"/>
                                </w:rPr>
                                <w:t>« Oui » si élaboration d’une stratégie de ciblage pouvant être communiquée comme Elément de Preuve (EP)</w:t>
                              </w:r>
                            </w:p>
                          </w:txbxContent>
                        </wps:txbx>
                        <wps:bodyPr wrap="square" tIns="28800" bIns="28800" rtlCol="0" anchor="ctr">
                          <a:noAutofit/>
                        </wps:bodyPr>
                      </wps:wsp>
                      <wps:wsp>
                        <wps:cNvPr id="5" name="Rectangle à coins arrondis 4"/>
                        <wps:cNvSpPr/>
                        <wps:spPr>
                          <a:xfrm>
                            <a:off x="0" y="0"/>
                            <a:ext cx="2561590" cy="1069340"/>
                          </a:xfrm>
                          <a:prstGeom prst="roundRect">
                            <a:avLst/>
                          </a:prstGeom>
                          <a:solidFill>
                            <a:srgbClr val="4F81BD"/>
                          </a:solidFill>
                          <a:ln w="38100" cap="flat" cmpd="sng" algn="ctr">
                            <a:solidFill>
                              <a:sysClr val="window" lastClr="FFFFFF"/>
                            </a:solidFill>
                            <a:prstDash val="solid"/>
                          </a:ln>
                          <a:effectLst>
                            <a:outerShdw blurRad="40000" dist="20000" dir="5400000" rotWithShape="0">
                              <a:srgbClr val="000000">
                                <a:alpha val="38000"/>
                              </a:srgbClr>
                            </a:outerShdw>
                          </a:effectLst>
                        </wps:spPr>
                        <wps:txbx>
                          <w:txbxContent>
                            <w:p w:rsidR="00986060" w:rsidRPr="00255C2E" w:rsidRDefault="00986060" w:rsidP="00255C2E">
                              <w:pPr>
                                <w:pStyle w:val="NormalWeb"/>
                                <w:spacing w:before="0" w:beforeAutospacing="0" w:after="0" w:afterAutospacing="0"/>
                                <w:rPr>
                                  <w:sz w:val="18"/>
                                </w:rPr>
                              </w:pPr>
                              <w:r w:rsidRPr="00255C2E">
                                <w:rPr>
                                  <w:rFonts w:ascii="Calibri" w:hAnsi="Calibri" w:cs="Arial"/>
                                  <w:b/>
                                  <w:bCs/>
                                  <w:color w:val="FFFFFF"/>
                                  <w:sz w:val="22"/>
                                  <w:szCs w:val="32"/>
                                </w:rPr>
                                <w:t>Cible régionale :</w:t>
                              </w:r>
                            </w:p>
                            <w:p w:rsidR="00986060" w:rsidRPr="00255C2E" w:rsidRDefault="00986060" w:rsidP="00255C2E">
                              <w:pPr>
                                <w:spacing w:after="0" w:line="240" w:lineRule="auto"/>
                                <w:rPr>
                                  <w:rFonts w:eastAsia="Times New Roman"/>
                                </w:rPr>
                              </w:pPr>
                              <w:r w:rsidRPr="00255C2E">
                                <w:rPr>
                                  <w:rFonts w:cs="Arial"/>
                                  <w:color w:val="FFFFFF"/>
                                  <w:szCs w:val="32"/>
                                </w:rPr>
                                <w:t>Avoir mis en œuvre une stratégie dès 2018 pour les ETS MCO, à partir de 2019 pour les autres ETS</w:t>
                              </w:r>
                            </w:p>
                          </w:txbxContent>
                        </wps:txbx>
                        <wps:bodyPr wrap="square" tIns="28800" bIns="28800" rtlCol="0" anchor="ctr">
                          <a:noAutofit/>
                        </wps:bodyPr>
                      </wps:wsp>
                    </wpg:wgp>
                  </a:graphicData>
                </a:graphic>
              </wp:inline>
            </w:drawing>
          </mc:Choice>
          <mc:Fallback>
            <w:pict>
              <v:group id="Groupe 13" o:spid="_x0000_s1026" style="width:480pt;height:78.75pt;mso-position-horizontal-relative:char;mso-position-vertical-relative:line" coordsize="60960,106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">
                <v:roundrect id="Rectangle à coins arrondis 5" o:spid="_x0000_s1027" style="position:absolute;left:26479;width:34481;height:10693;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EZi2MIA&#10;AADaAAAADwAAAGRycy9kb3ducmV2LnhtbESPT4vCMBTE78J+h/AWvGlawSJdo7grCyIo+Oewx0fz&#10;bIvNS02yWr+9EQSPw8z8hpnOO9OIKzlfW1aQDhMQxIXVNZcKjoffwQSED8gaG8uk4E4e5rOP3hRz&#10;bW+8o+s+lCJC2OeooAqhzaX0RUUG/dC2xNE7WWcwROlKqR3eItw0cpQkmTRYc1yosKWfiorz/t8o&#10;2KaH05bGzvjlJd2MbPa9/ss6pfqf3eILRKAuvMOv9koryOB5Jd4AOX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RmLYwgAAANoAAAAPAAAAAAAAAAAAAAAAAJgCAABkcnMvZG93&#10;bnJldi54bWxQSwUGAAAAAAQABAD1AAAAhwMAAAAA&#10;" fillcolor="#8dc63f" strokecolor="window" strokeweight="3pt">
                  <v:shadow on="t" color="black" opacity="24903f" origin=",.5" offset="0,.55556mm"/>
                  <v:textbox inset=",.8mm,,.8mm">
                    <w:txbxContent>
                      <w:p w:rsidR="00986060" w:rsidRPr="00255C2E" w:rsidRDefault="00986060" w:rsidP="00255C2E">
                        <w:pPr>
                          <w:pStyle w:val="NormalWeb"/>
                          <w:spacing w:before="0" w:beforeAutospacing="0" w:after="0" w:afterAutospacing="0"/>
                          <w:rPr>
                            <w:sz w:val="18"/>
                          </w:rPr>
                        </w:pPr>
                        <w:r w:rsidRPr="00255C2E">
                          <w:rPr>
                            <w:rFonts w:ascii="Calibri" w:hAnsi="Calibri" w:cs="Arial"/>
                            <w:b/>
                            <w:bCs/>
                            <w:color w:val="FFFFFF"/>
                            <w:sz w:val="22"/>
                            <w:szCs w:val="32"/>
                          </w:rPr>
                          <w:t>A renseigner dans les RE</w:t>
                        </w:r>
                      </w:p>
                      <w:p w:rsidR="00986060" w:rsidRPr="008D6E92" w:rsidRDefault="00986060" w:rsidP="008D6E92">
                        <w:pPr>
                          <w:spacing w:after="0" w:line="240" w:lineRule="auto"/>
                          <w:rPr>
                            <w:rFonts w:eastAsia="Times New Roman"/>
                          </w:rPr>
                        </w:pPr>
                        <w:r w:rsidRPr="008D6E92">
                          <w:rPr>
                            <w:rFonts w:cs="Arial"/>
                            <w:color w:val="FFFFFF"/>
                            <w:szCs w:val="32"/>
                          </w:rPr>
                          <w:t>Indicateur binaire : oui/non</w:t>
                        </w:r>
                      </w:p>
                      <w:p w:rsidR="00986060" w:rsidRPr="008D6E92" w:rsidRDefault="00986060" w:rsidP="008D6E92">
                        <w:pPr>
                          <w:spacing w:after="0" w:line="240" w:lineRule="auto"/>
                          <w:rPr>
                            <w:rFonts w:eastAsia="Times New Roman"/>
                          </w:rPr>
                        </w:pPr>
                        <w:r w:rsidRPr="008D6E92">
                          <w:rPr>
                            <w:rFonts w:cs="Arial"/>
                            <w:color w:val="FFFFFF"/>
                            <w:szCs w:val="32"/>
                          </w:rPr>
                          <w:t>« Oui » si élaboration d’une stratégie de ciblage pouvant être communiquée comme Elément de Preuve (EP)</w:t>
                        </w:r>
                      </w:p>
                    </w:txbxContent>
                  </v:textbox>
                </v:roundrect>
                <v:roundrect id="Rectangle à coins arrondis 4" o:spid="_x0000_s1028" style="position:absolute;width:25615;height:10693;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nSizsIA&#10;AADaAAAADwAAAGRycy9kb3ducmV2LnhtbESPQWvCQBSE74L/YXlCb2ZTpSIxm1BaQvVSqrb3R/aZ&#10;hGTfxuyq8d93CwWPw8x8w6T5aDpxpcE1lhU8RzEI4tLqhisF38divgbhPLLGzjIpuJODPJtOUky0&#10;vfGergdfiQBhl6CC2vs+kdKVNRl0ke2Jg3eyg0Ef5FBJPeAtwE0nF3G8kgYbDgs19vRWU9keLkbB&#10;R0vd+Wf7/hnLcvfVumVx9stCqafZ+LoB4Wn0j/B/e6sVvMDflXADZPY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dKLOwgAAANoAAAAPAAAAAAAAAAAAAAAAAJgCAABkcnMvZG93&#10;bnJldi54bWxQSwUGAAAAAAQABAD1AAAAhwMAAAAA&#10;" fillcolor="#4f81bd" strokecolor="window" strokeweight="3pt">
                  <v:shadow on="t" color="black" opacity="24903f" origin=",.5" offset="0,.55556mm"/>
                  <v:textbox inset=",.8mm,,.8mm">
                    <w:txbxContent>
                      <w:p w:rsidR="00986060" w:rsidRPr="00255C2E" w:rsidRDefault="00986060" w:rsidP="00255C2E">
                        <w:pPr>
                          <w:pStyle w:val="NormalWeb"/>
                          <w:spacing w:before="0" w:beforeAutospacing="0" w:after="0" w:afterAutospacing="0"/>
                          <w:rPr>
                            <w:sz w:val="18"/>
                          </w:rPr>
                        </w:pPr>
                        <w:r w:rsidRPr="00255C2E">
                          <w:rPr>
                            <w:rFonts w:ascii="Calibri" w:hAnsi="Calibri" w:cs="Arial"/>
                            <w:b/>
                            <w:bCs/>
                            <w:color w:val="FFFFFF"/>
                            <w:sz w:val="22"/>
                            <w:szCs w:val="32"/>
                          </w:rPr>
                          <w:t>Cible régionale :</w:t>
                        </w:r>
                      </w:p>
                      <w:p w:rsidR="00986060" w:rsidRPr="00255C2E" w:rsidRDefault="00986060" w:rsidP="00255C2E">
                        <w:pPr>
                          <w:spacing w:after="0" w:line="240" w:lineRule="auto"/>
                          <w:rPr>
                            <w:rFonts w:eastAsia="Times New Roman"/>
                          </w:rPr>
                        </w:pPr>
                        <w:r w:rsidRPr="00255C2E">
                          <w:rPr>
                            <w:rFonts w:cs="Arial"/>
                            <w:color w:val="FFFFFF"/>
                            <w:szCs w:val="32"/>
                          </w:rPr>
                          <w:t>Avoir mis en œuvre une stratégie dès 2018 pour les ETS MCO, à partir de 2019 pour les autres ETS</w:t>
                        </w:r>
                      </w:p>
                    </w:txbxContent>
                  </v:textbox>
                </v:roundrect>
                <w10:anchorlock/>
              </v:group>
            </w:pict>
          </mc:Fallback>
        </mc:AlternateContent>
      </w:r>
      <w:r w:rsidR="00B024AB" w:rsidRPr="00255C2E">
        <w:rPr>
          <w:noProof/>
          <w:lang w:eastAsia="fr-FR"/>
        </w:rPr>
        <w:t xml:space="preserve"> </w:t>
      </w:r>
      <w:r w:rsidR="006A57CE" w:rsidRPr="00B024AB">
        <w:rPr>
          <w:b/>
        </w:rPr>
        <w:t xml:space="preserve">REG_31 Taux de séjours ayant bénéficié d'une analyse pharmaceutique de niveau 2 ou 3 pour les patients </w:t>
      </w:r>
      <w:r w:rsidR="006A57CE" w:rsidRPr="00B024AB">
        <w:rPr>
          <w:b/>
          <w:u w:val="single"/>
        </w:rPr>
        <w:t>priorisés</w:t>
      </w:r>
      <w:r w:rsidR="006A57CE" w:rsidRPr="00B024AB">
        <w:rPr>
          <w:b/>
        </w:rPr>
        <w:t xml:space="preserve"> dans la stratégie de l'ETS</w:t>
      </w:r>
    </w:p>
    <w:p w:rsidR="000C158C" w:rsidRPr="001F7A2F" w:rsidRDefault="006A57CE" w:rsidP="005F2452">
      <w:pPr>
        <w:pStyle w:val="Paragraphe"/>
        <w:numPr>
          <w:ilvl w:val="0"/>
          <w:numId w:val="4"/>
        </w:numPr>
        <w:spacing w:after="0"/>
        <w:ind w:hanging="357"/>
        <w:rPr>
          <w:bCs/>
        </w:rPr>
      </w:pPr>
      <w:r w:rsidRPr="001F7A2F">
        <w:rPr>
          <w:bCs/>
        </w:rPr>
        <w:t xml:space="preserve">Indicateur </w:t>
      </w:r>
      <w:r w:rsidR="006A2F50" w:rsidRPr="001F7A2F">
        <w:rPr>
          <w:bCs/>
        </w:rPr>
        <w:t xml:space="preserve">qualitatif et </w:t>
      </w:r>
      <w:r w:rsidRPr="001F7A2F">
        <w:rPr>
          <w:bCs/>
        </w:rPr>
        <w:t>quantitatif</w:t>
      </w:r>
      <w:r w:rsidR="006A2F50" w:rsidRPr="001F7A2F">
        <w:rPr>
          <w:bCs/>
        </w:rPr>
        <w:t> :</w:t>
      </w:r>
    </w:p>
    <w:p w:rsidR="000C158C" w:rsidRPr="001F7A2F" w:rsidRDefault="006A57CE" w:rsidP="005F2452">
      <w:pPr>
        <w:pStyle w:val="Paragraphe"/>
        <w:numPr>
          <w:ilvl w:val="1"/>
          <w:numId w:val="4"/>
        </w:numPr>
        <w:spacing w:after="0"/>
        <w:ind w:hanging="357"/>
        <w:rPr>
          <w:bCs/>
        </w:rPr>
      </w:pPr>
      <w:r w:rsidRPr="001F7A2F">
        <w:rPr>
          <w:bCs/>
        </w:rPr>
        <w:t>Numérateur = nombre de séjours bénéficiant d’une analyse pharmaceutique de niveau 2 ou 3</w:t>
      </w:r>
    </w:p>
    <w:p w:rsidR="000C158C" w:rsidRPr="001F7A2F" w:rsidRDefault="006A57CE" w:rsidP="005F2452">
      <w:pPr>
        <w:pStyle w:val="Paragraphe"/>
        <w:numPr>
          <w:ilvl w:val="1"/>
          <w:numId w:val="4"/>
        </w:numPr>
        <w:tabs>
          <w:tab w:val="left" w:pos="284"/>
        </w:tabs>
        <w:spacing w:after="0"/>
        <w:ind w:hanging="357"/>
        <w:rPr>
          <w:bCs/>
        </w:rPr>
      </w:pPr>
      <w:r w:rsidRPr="001F7A2F">
        <w:rPr>
          <w:bCs/>
        </w:rPr>
        <w:t>Dénominateur = nombre de séjours de patients priorisés (selon la stratégie évoquée en REG_28)</w:t>
      </w:r>
    </w:p>
    <w:p w:rsidR="000C158C" w:rsidRPr="00B024AB" w:rsidRDefault="006A57CE" w:rsidP="005F2452">
      <w:pPr>
        <w:numPr>
          <w:ilvl w:val="0"/>
          <w:numId w:val="8"/>
        </w:numPr>
        <w:spacing w:after="0"/>
        <w:ind w:hanging="357"/>
        <w:contextualSpacing/>
      </w:pPr>
      <w:r w:rsidRPr="00B024AB">
        <w:t>Correspond à la mise en œuvre effective de la stratégie de déploiement</w:t>
      </w:r>
    </w:p>
    <w:p w:rsidR="00FC6B1B" w:rsidRDefault="006A57CE" w:rsidP="005F2452">
      <w:pPr>
        <w:numPr>
          <w:ilvl w:val="0"/>
          <w:numId w:val="8"/>
        </w:numPr>
        <w:spacing w:after="0"/>
        <w:ind w:hanging="357"/>
        <w:contextualSpacing/>
      </w:pPr>
      <w:r w:rsidRPr="00B024AB">
        <w:t>Définition des niveaux 2 et 3 selon la SFPC (rappelée dans le glossaire)</w:t>
      </w:r>
    </w:p>
    <w:p w:rsidR="009D5C70" w:rsidRDefault="009D5C70" w:rsidP="009D5C70">
      <w:r>
        <w:rPr>
          <w:b/>
          <w:noProof/>
          <w:lang w:eastAsia="fr-FR"/>
        </w:rPr>
        <mc:AlternateContent>
          <mc:Choice Requires="wpg">
            <w:drawing>
              <wp:inline distT="0" distB="0" distL="0" distR="0" wp14:anchorId="4F344563" wp14:editId="2356C18E">
                <wp:extent cx="6096000" cy="1047750"/>
                <wp:effectExtent l="76200" t="57150" r="76200" b="95250"/>
                <wp:docPr id="14" name="Groupe 14"/>
                <wp:cNvGraphicFramePr/>
                <a:graphic xmlns:a="http://schemas.openxmlformats.org/drawingml/2006/main">
                  <a:graphicData uri="http://schemas.microsoft.com/office/word/2010/wordprocessingGroup">
                    <wpg:wgp>
                      <wpg:cNvGrpSpPr/>
                      <wpg:grpSpPr>
                        <a:xfrm>
                          <a:off x="0" y="0"/>
                          <a:ext cx="6096000" cy="1047750"/>
                          <a:chOff x="0" y="1"/>
                          <a:chExt cx="6096000" cy="1031420"/>
                        </a:xfrm>
                      </wpg:grpSpPr>
                      <wps:wsp>
                        <wps:cNvPr id="15" name="Rectangle à coins arrondis 5"/>
                        <wps:cNvSpPr/>
                        <wps:spPr>
                          <a:xfrm>
                            <a:off x="2647950" y="1"/>
                            <a:ext cx="3448050" cy="1031419"/>
                          </a:xfrm>
                          <a:prstGeom prst="roundRect">
                            <a:avLst/>
                          </a:prstGeom>
                          <a:solidFill>
                            <a:srgbClr val="8DC63F"/>
                          </a:solidFill>
                          <a:ln w="38100" cap="flat" cmpd="sng" algn="ctr">
                            <a:solidFill>
                              <a:sysClr val="window" lastClr="FFFFFF"/>
                            </a:solidFill>
                            <a:prstDash val="solid"/>
                          </a:ln>
                          <a:effectLst>
                            <a:outerShdw blurRad="40000" dist="20000" dir="5400000" rotWithShape="0">
                              <a:srgbClr val="000000">
                                <a:alpha val="38000"/>
                              </a:srgbClr>
                            </a:outerShdw>
                          </a:effectLst>
                        </wps:spPr>
                        <wps:txbx>
                          <w:txbxContent>
                            <w:p w:rsidR="009D5C70" w:rsidRPr="00255C2E" w:rsidRDefault="009D5C70" w:rsidP="009D5C70">
                              <w:pPr>
                                <w:pStyle w:val="NormalWeb"/>
                                <w:spacing w:before="0" w:beforeAutospacing="0" w:after="0" w:afterAutospacing="0"/>
                                <w:rPr>
                                  <w:sz w:val="18"/>
                                </w:rPr>
                              </w:pPr>
                              <w:r w:rsidRPr="00255C2E">
                                <w:rPr>
                                  <w:rFonts w:ascii="Calibri" w:hAnsi="Calibri" w:cs="Arial"/>
                                  <w:b/>
                                  <w:bCs/>
                                  <w:color w:val="FFFFFF"/>
                                  <w:sz w:val="22"/>
                                  <w:szCs w:val="32"/>
                                </w:rPr>
                                <w:t>A renseigner dans les RE</w:t>
                              </w:r>
                            </w:p>
                            <w:p w:rsidR="009D5C70" w:rsidRPr="006A2F50" w:rsidRDefault="009D5C70" w:rsidP="009D5C70">
                              <w:pPr>
                                <w:shd w:val="clear" w:color="auto" w:fill="8DC63F"/>
                                <w:spacing w:after="0" w:line="240" w:lineRule="auto"/>
                                <w:jc w:val="left"/>
                                <w:rPr>
                                  <w:rFonts w:eastAsia="Times New Roman"/>
                                </w:rPr>
                              </w:pPr>
                              <w:r w:rsidRPr="006A2F50">
                                <w:rPr>
                                  <w:rFonts w:cs="Arial"/>
                                  <w:color w:val="FFFFFF"/>
                                </w:rPr>
                                <w:t>Calcul du taux</w:t>
                              </w:r>
                            </w:p>
                            <w:p w:rsidR="009D5C70" w:rsidRPr="006A2F50" w:rsidRDefault="009D5C70" w:rsidP="009D5C70">
                              <w:pPr>
                                <w:shd w:val="clear" w:color="auto" w:fill="8DC63F"/>
                                <w:spacing w:after="0" w:line="240" w:lineRule="auto"/>
                                <w:jc w:val="left"/>
                                <w:rPr>
                                  <w:rFonts w:eastAsia="Times New Roman"/>
                                </w:rPr>
                              </w:pPr>
                              <w:r w:rsidRPr="006A2F50">
                                <w:rPr>
                                  <w:rFonts w:cs="Arial"/>
                                  <w:color w:val="FFFFFF"/>
                                </w:rPr>
                                <w:t>Nécessite une extraction du nombre de séjours correspondant aux patients priorisés : requête (ou estimation à partir d’un audit et extrapolation)</w:t>
                              </w:r>
                            </w:p>
                            <w:p w:rsidR="009D5C70" w:rsidRPr="008D6E92" w:rsidRDefault="009D5C70" w:rsidP="009D5C70">
                              <w:pPr>
                                <w:spacing w:after="0" w:line="240" w:lineRule="auto"/>
                                <w:rPr>
                                  <w:rFonts w:eastAsia="Times New Roman"/>
                                </w:rPr>
                              </w:pPr>
                            </w:p>
                          </w:txbxContent>
                        </wps:txbx>
                        <wps:bodyPr wrap="square" tIns="28800" bIns="28800" rtlCol="0" anchor="ctr">
                          <a:noAutofit/>
                        </wps:bodyPr>
                      </wps:wsp>
                      <wps:wsp>
                        <wps:cNvPr id="16" name="Rectangle à coins arrondis 4"/>
                        <wps:cNvSpPr/>
                        <wps:spPr>
                          <a:xfrm>
                            <a:off x="0" y="1"/>
                            <a:ext cx="2561590" cy="1031420"/>
                          </a:xfrm>
                          <a:prstGeom prst="roundRect">
                            <a:avLst/>
                          </a:prstGeom>
                          <a:solidFill>
                            <a:srgbClr val="4F81BD"/>
                          </a:solidFill>
                          <a:ln w="38100" cap="flat" cmpd="sng" algn="ctr">
                            <a:solidFill>
                              <a:sysClr val="window" lastClr="FFFFFF"/>
                            </a:solidFill>
                            <a:prstDash val="solid"/>
                          </a:ln>
                          <a:effectLst>
                            <a:outerShdw blurRad="40000" dist="20000" dir="5400000" rotWithShape="0">
                              <a:srgbClr val="000000">
                                <a:alpha val="38000"/>
                              </a:srgbClr>
                            </a:outerShdw>
                          </a:effectLst>
                        </wps:spPr>
                        <wps:txbx>
                          <w:txbxContent>
                            <w:p w:rsidR="009D5C70" w:rsidRPr="00255C2E" w:rsidRDefault="009D5C70" w:rsidP="009D5C70">
                              <w:pPr>
                                <w:pStyle w:val="NormalWeb"/>
                                <w:spacing w:before="0" w:beforeAutospacing="0" w:after="0" w:afterAutospacing="0"/>
                                <w:rPr>
                                  <w:sz w:val="18"/>
                                </w:rPr>
                              </w:pPr>
                              <w:r w:rsidRPr="00255C2E">
                                <w:rPr>
                                  <w:rFonts w:ascii="Calibri" w:hAnsi="Calibri" w:cs="Arial"/>
                                  <w:b/>
                                  <w:bCs/>
                                  <w:color w:val="FFFFFF"/>
                                  <w:sz w:val="22"/>
                                  <w:szCs w:val="32"/>
                                </w:rPr>
                                <w:t>Cible régionale :</w:t>
                              </w:r>
                            </w:p>
                            <w:p w:rsidR="009D5C70" w:rsidRPr="00255C2E" w:rsidRDefault="009D5C70" w:rsidP="009D5C70">
                              <w:pPr>
                                <w:spacing w:after="0" w:line="240" w:lineRule="auto"/>
                                <w:jc w:val="left"/>
                                <w:rPr>
                                  <w:rFonts w:eastAsia="Times New Roman"/>
                                </w:rPr>
                              </w:pPr>
                              <w:r w:rsidRPr="00B024AB">
                                <w:rPr>
                                  <w:rFonts w:cs="Arial"/>
                                  <w:color w:val="FFFFFF"/>
                                  <w:szCs w:val="32"/>
                                </w:rPr>
                                <w:t xml:space="preserve">A échéance 2022 : </w:t>
                              </w:r>
                              <w:r w:rsidRPr="00B024AB">
                                <w:rPr>
                                  <w:rFonts w:cs="Arial"/>
                                  <w:b/>
                                  <w:bCs/>
                                  <w:color w:val="FFFFFF"/>
                                  <w:szCs w:val="32"/>
                                </w:rPr>
                                <w:t xml:space="preserve">90% des patients </w:t>
                              </w:r>
                              <w:r w:rsidRPr="00B024AB">
                                <w:rPr>
                                  <w:rFonts w:cs="Arial"/>
                                  <w:b/>
                                  <w:bCs/>
                                  <w:color w:val="FFFFFF"/>
                                  <w:szCs w:val="32"/>
                                  <w:u w:val="single"/>
                                </w:rPr>
                                <w:t>priorisés</w:t>
                              </w:r>
                              <w:r w:rsidRPr="00B024AB">
                                <w:rPr>
                                  <w:rFonts w:cs="Arial"/>
                                  <w:color w:val="FFFFFF"/>
                                  <w:szCs w:val="32"/>
                                </w:rPr>
                                <w:t xml:space="preserve"> bénéficient d’une analyse pharmaceutique de niveau 2 ou 3</w:t>
                              </w:r>
                            </w:p>
                          </w:txbxContent>
                        </wps:txbx>
                        <wps:bodyPr wrap="square" tIns="28800" bIns="28800" rtlCol="0" anchor="ctr">
                          <a:noAutofit/>
                        </wps:bodyPr>
                      </wps:wsp>
                    </wpg:wgp>
                  </a:graphicData>
                </a:graphic>
              </wp:inline>
            </w:drawing>
          </mc:Choice>
          <mc:Fallback>
            <w:pict>
              <v:group id="Groupe 14" o:spid="_x0000_s1029" style="width:480pt;height:82.5pt;mso-position-horizontal-relative:char;mso-position-vertical-relative:line" coordorigin="" coordsize="60960,103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">
                <v:roundrect id="Rectangle à coins arrondis 5" o:spid="_x0000_s1030" style="position:absolute;left:26479;width:34481;height:10314;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G8wW8EA&#10;AADbAAAADwAAAGRycy9kb3ducmV2LnhtbERPS4vCMBC+C/sfwizsTdMKFqlGUZeFZUHBx8Hj0Ixt&#10;sZnUJKv13xtB8DYf33Om88404krO15YVpIMEBHFhdc2lgsP+pz8G4QOyxsYyKbiTh/nsozfFXNsb&#10;b+m6C6WIIexzVFCF0OZS+qIig35gW+LInawzGCJ0pdQObzHcNHKYJJk0WHNsqLClVUXFefdvFGzS&#10;/WlDI2f89yVdD222/DtmnVJfn91iAiJQF97il/tXx/kjeP4SD5Cz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xvMFvBAAAA2wAAAA8AAAAAAAAAAAAAAAAAmAIAAGRycy9kb3du&#10;cmV2LnhtbFBLBQYAAAAABAAEAPUAAACGAwAAAAA=&#10;" fillcolor="#8dc63f" strokecolor="window" strokeweight="3pt">
                  <v:shadow on="t" color="black" opacity="24903f" origin=",.5" offset="0,.55556mm"/>
                  <v:textbox inset=",.8mm,,.8mm">
                    <w:txbxContent>
                      <w:p w:rsidR="009D5C70" w:rsidRPr="00255C2E" w:rsidRDefault="009D5C70" w:rsidP="009D5C70">
                        <w:pPr>
                          <w:pStyle w:val="NormalWeb"/>
                          <w:spacing w:before="0" w:beforeAutospacing="0" w:after="0" w:afterAutospacing="0"/>
                          <w:rPr>
                            <w:sz w:val="18"/>
                          </w:rPr>
                        </w:pPr>
                        <w:r w:rsidRPr="00255C2E">
                          <w:rPr>
                            <w:rFonts w:ascii="Calibri" w:hAnsi="Calibri" w:cs="Arial"/>
                            <w:b/>
                            <w:bCs/>
                            <w:color w:val="FFFFFF"/>
                            <w:sz w:val="22"/>
                            <w:szCs w:val="32"/>
                          </w:rPr>
                          <w:t>A renseigner dans les RE</w:t>
                        </w:r>
                      </w:p>
                      <w:p w:rsidR="009D5C70" w:rsidRPr="006A2F50" w:rsidRDefault="009D5C70" w:rsidP="009D5C70">
                        <w:pPr>
                          <w:shd w:val="clear" w:color="auto" w:fill="8DC63F"/>
                          <w:spacing w:after="0" w:line="240" w:lineRule="auto"/>
                          <w:jc w:val="left"/>
                          <w:rPr>
                            <w:rFonts w:eastAsia="Times New Roman"/>
                          </w:rPr>
                        </w:pPr>
                        <w:r w:rsidRPr="006A2F50">
                          <w:rPr>
                            <w:rFonts w:cs="Arial"/>
                            <w:color w:val="FFFFFF"/>
                          </w:rPr>
                          <w:t>Calcul du taux</w:t>
                        </w:r>
                      </w:p>
                      <w:p w:rsidR="009D5C70" w:rsidRPr="006A2F50" w:rsidRDefault="009D5C70" w:rsidP="009D5C70">
                        <w:pPr>
                          <w:shd w:val="clear" w:color="auto" w:fill="8DC63F"/>
                          <w:spacing w:after="0" w:line="240" w:lineRule="auto"/>
                          <w:jc w:val="left"/>
                          <w:rPr>
                            <w:rFonts w:eastAsia="Times New Roman"/>
                          </w:rPr>
                        </w:pPr>
                        <w:r w:rsidRPr="006A2F50">
                          <w:rPr>
                            <w:rFonts w:cs="Arial"/>
                            <w:color w:val="FFFFFF"/>
                          </w:rPr>
                          <w:t>Nécessite une extraction du nombre de séjours correspondant aux patients priorisés : requête (ou estimation à partir d’un audit et extrapolation)</w:t>
                        </w:r>
                      </w:p>
                      <w:p w:rsidR="009D5C70" w:rsidRPr="008D6E92" w:rsidRDefault="009D5C70" w:rsidP="009D5C70">
                        <w:pPr>
                          <w:spacing w:after="0" w:line="240" w:lineRule="auto"/>
                          <w:rPr>
                            <w:rFonts w:eastAsia="Times New Roman"/>
                          </w:rPr>
                        </w:pPr>
                      </w:p>
                    </w:txbxContent>
                  </v:textbox>
                </v:roundrect>
                <v:roundrect id="Rectangle à coins arrondis 4" o:spid="_x0000_s1031" style="position:absolute;width:25615;height:10314;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XZ148AA&#10;AADbAAAADwAAAGRycy9kb3ducmV2LnhtbERPS4vCMBC+C/6HMII3TV1BpBqLKGXdi6yv+9CMbWkz&#10;aZuo3X9vFhb2Nh/fc9ZJb2rxpM6VlhXMphEI4szqknMF10s6WYJwHlljbZkU/JCDZDMcrDHW9sUn&#10;ep59LkIIuxgVFN43sZQuK8igm9qGOHB32xn0AXa51B2+Qrip5UcULaTBkkNDgQ3tCsqq88Mo+Kyo&#10;bm+H/TGS2dd35eZp6+epUuNRv12B8NT7f/Gf+6DD/AX8/hIOkJs3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5XZ148AAAADbAAAADwAAAAAAAAAAAAAAAACYAgAAZHJzL2Rvd25y&#10;ZXYueG1sUEsFBgAAAAAEAAQA9QAAAIUDAAAAAA==&#10;" fillcolor="#4f81bd" strokecolor="window" strokeweight="3pt">
                  <v:shadow on="t" color="black" opacity="24903f" origin=",.5" offset="0,.55556mm"/>
                  <v:textbox inset=",.8mm,,.8mm">
                    <w:txbxContent>
                      <w:p w:rsidR="009D5C70" w:rsidRPr="00255C2E" w:rsidRDefault="009D5C70" w:rsidP="009D5C70">
                        <w:pPr>
                          <w:pStyle w:val="NormalWeb"/>
                          <w:spacing w:before="0" w:beforeAutospacing="0" w:after="0" w:afterAutospacing="0"/>
                          <w:rPr>
                            <w:sz w:val="18"/>
                          </w:rPr>
                        </w:pPr>
                        <w:r w:rsidRPr="00255C2E">
                          <w:rPr>
                            <w:rFonts w:ascii="Calibri" w:hAnsi="Calibri" w:cs="Arial"/>
                            <w:b/>
                            <w:bCs/>
                            <w:color w:val="FFFFFF"/>
                            <w:sz w:val="22"/>
                            <w:szCs w:val="32"/>
                          </w:rPr>
                          <w:t>Cible régionale :</w:t>
                        </w:r>
                      </w:p>
                      <w:p w:rsidR="009D5C70" w:rsidRPr="00255C2E" w:rsidRDefault="009D5C70" w:rsidP="009D5C70">
                        <w:pPr>
                          <w:spacing w:after="0" w:line="240" w:lineRule="auto"/>
                          <w:jc w:val="left"/>
                          <w:rPr>
                            <w:rFonts w:eastAsia="Times New Roman"/>
                          </w:rPr>
                        </w:pPr>
                        <w:r w:rsidRPr="00B024AB">
                          <w:rPr>
                            <w:rFonts w:cs="Arial"/>
                            <w:color w:val="FFFFFF"/>
                            <w:szCs w:val="32"/>
                          </w:rPr>
                          <w:t xml:space="preserve">A échéance 2022 : </w:t>
                        </w:r>
                        <w:r w:rsidRPr="00B024AB">
                          <w:rPr>
                            <w:rFonts w:cs="Arial"/>
                            <w:b/>
                            <w:bCs/>
                            <w:color w:val="FFFFFF"/>
                            <w:szCs w:val="32"/>
                          </w:rPr>
                          <w:t xml:space="preserve">90% des patients </w:t>
                        </w:r>
                        <w:r w:rsidRPr="00B024AB">
                          <w:rPr>
                            <w:rFonts w:cs="Arial"/>
                            <w:b/>
                            <w:bCs/>
                            <w:color w:val="FFFFFF"/>
                            <w:szCs w:val="32"/>
                            <w:u w:val="single"/>
                          </w:rPr>
                          <w:t>priorisés</w:t>
                        </w:r>
                        <w:r w:rsidRPr="00B024AB">
                          <w:rPr>
                            <w:rFonts w:cs="Arial"/>
                            <w:color w:val="FFFFFF"/>
                            <w:szCs w:val="32"/>
                          </w:rPr>
                          <w:t xml:space="preserve"> bénéficient d’une analyse pharmaceutique de niveau 2 ou 3</w:t>
                        </w:r>
                      </w:p>
                    </w:txbxContent>
                  </v:textbox>
                </v:roundrect>
                <w10:anchorlock/>
              </v:group>
            </w:pict>
          </mc:Fallback>
        </mc:AlternateContent>
      </w:r>
    </w:p>
    <w:p w:rsidR="000C158C" w:rsidRPr="006A2F50" w:rsidRDefault="006A57CE" w:rsidP="00D90A17">
      <w:pPr>
        <w:contextualSpacing/>
      </w:pPr>
      <w:r w:rsidRPr="006A2F50">
        <w:rPr>
          <w:b/>
          <w:bCs/>
        </w:rPr>
        <w:t>REG_30 : Taux de séjours ayant bénéficié d'une analyse pharmaceutique de niveau 2 ou 3</w:t>
      </w:r>
    </w:p>
    <w:p w:rsidR="000C158C" w:rsidRPr="006A2F50" w:rsidRDefault="0002269D" w:rsidP="005F2452">
      <w:pPr>
        <w:numPr>
          <w:ilvl w:val="0"/>
          <w:numId w:val="9"/>
        </w:numPr>
        <w:spacing w:after="0"/>
        <w:ind w:hanging="357"/>
      </w:pPr>
      <w:r>
        <w:t>Indicateur</w:t>
      </w:r>
      <w:r w:rsidR="006A2F50">
        <w:t xml:space="preserve"> quantitatif</w:t>
      </w:r>
      <w:r w:rsidR="006A57CE" w:rsidRPr="006A2F50">
        <w:t xml:space="preserve"> :</w:t>
      </w:r>
    </w:p>
    <w:p w:rsidR="000C158C" w:rsidRPr="001F7A2F" w:rsidRDefault="006A57CE" w:rsidP="005F2452">
      <w:pPr>
        <w:pStyle w:val="Paragraphe"/>
        <w:numPr>
          <w:ilvl w:val="1"/>
          <w:numId w:val="4"/>
        </w:numPr>
        <w:spacing w:after="0"/>
        <w:ind w:hanging="357"/>
        <w:rPr>
          <w:bCs/>
        </w:rPr>
      </w:pPr>
      <w:r w:rsidRPr="001F7A2F">
        <w:rPr>
          <w:bCs/>
        </w:rPr>
        <w:t>Numérateur = nombre de séjours bénéficiant d’une analyse pharmaceutique de niveau 2 ou 3</w:t>
      </w:r>
    </w:p>
    <w:p w:rsidR="000C158C" w:rsidRPr="001F7A2F" w:rsidRDefault="006A57CE" w:rsidP="005F2452">
      <w:pPr>
        <w:pStyle w:val="Paragraphe"/>
        <w:numPr>
          <w:ilvl w:val="1"/>
          <w:numId w:val="4"/>
        </w:numPr>
        <w:spacing w:after="0"/>
        <w:ind w:hanging="357"/>
        <w:rPr>
          <w:bCs/>
        </w:rPr>
      </w:pPr>
      <w:r w:rsidRPr="001F7A2F">
        <w:rPr>
          <w:bCs/>
        </w:rPr>
        <w:t>Dénominateur = nombre total de séjours</w:t>
      </w:r>
    </w:p>
    <w:p w:rsidR="005F2452" w:rsidRPr="005F2452" w:rsidRDefault="006A57CE" w:rsidP="005F2452">
      <w:pPr>
        <w:numPr>
          <w:ilvl w:val="0"/>
          <w:numId w:val="9"/>
        </w:numPr>
        <w:ind w:left="714" w:hanging="357"/>
        <w:contextualSpacing/>
      </w:pPr>
      <w:r w:rsidRPr="006A2F50">
        <w:rPr>
          <w:b/>
          <w:bCs/>
        </w:rPr>
        <w:t>Pas d’objectif quantitatif attendu</w:t>
      </w:r>
    </w:p>
    <w:p w:rsidR="000C158C" w:rsidRPr="009D5C70" w:rsidRDefault="005F2452" w:rsidP="005F2452">
      <w:r>
        <w:rPr>
          <w:b/>
          <w:noProof/>
          <w:lang w:eastAsia="fr-FR"/>
        </w:rPr>
        <mc:AlternateContent>
          <mc:Choice Requires="wpg">
            <w:drawing>
              <wp:inline distT="0" distB="0" distL="0" distR="0" wp14:anchorId="55DE25E1" wp14:editId="4660013B">
                <wp:extent cx="6086475" cy="695325"/>
                <wp:effectExtent l="76200" t="57150" r="85725" b="104775"/>
                <wp:docPr id="17" name="Groupe 17"/>
                <wp:cNvGraphicFramePr/>
                <a:graphic xmlns:a="http://schemas.openxmlformats.org/drawingml/2006/main">
                  <a:graphicData uri="http://schemas.microsoft.com/office/word/2010/wordprocessingGroup">
                    <wpg:wgp>
                      <wpg:cNvGrpSpPr/>
                      <wpg:grpSpPr>
                        <a:xfrm>
                          <a:off x="0" y="0"/>
                          <a:ext cx="6086475" cy="695325"/>
                          <a:chOff x="0" y="0"/>
                          <a:chExt cx="6086475" cy="1069340"/>
                        </a:xfrm>
                      </wpg:grpSpPr>
                      <wps:wsp>
                        <wps:cNvPr id="18" name="Rectangle à coins arrondis 5"/>
                        <wps:cNvSpPr/>
                        <wps:spPr>
                          <a:xfrm>
                            <a:off x="2647950" y="0"/>
                            <a:ext cx="3438525" cy="1069340"/>
                          </a:xfrm>
                          <a:prstGeom prst="roundRect">
                            <a:avLst/>
                          </a:prstGeom>
                          <a:solidFill>
                            <a:srgbClr val="8DC63F"/>
                          </a:solidFill>
                          <a:ln w="38100" cap="flat" cmpd="sng" algn="ctr">
                            <a:solidFill>
                              <a:sysClr val="window" lastClr="FFFFFF"/>
                            </a:solidFill>
                            <a:prstDash val="solid"/>
                          </a:ln>
                          <a:effectLst>
                            <a:outerShdw blurRad="40000" dist="20000" dir="5400000" rotWithShape="0">
                              <a:srgbClr val="000000">
                                <a:alpha val="38000"/>
                              </a:srgbClr>
                            </a:outerShdw>
                          </a:effectLst>
                        </wps:spPr>
                        <wps:txbx>
                          <w:txbxContent>
                            <w:p w:rsidR="005F2452" w:rsidRPr="006A2F50" w:rsidRDefault="005F2452" w:rsidP="005F2452">
                              <w:pPr>
                                <w:pStyle w:val="NormalWeb"/>
                                <w:shd w:val="clear" w:color="auto" w:fill="8DC63F"/>
                                <w:spacing w:before="0" w:beforeAutospacing="0" w:after="0" w:afterAutospacing="0"/>
                                <w:rPr>
                                  <w:sz w:val="22"/>
                                  <w:szCs w:val="22"/>
                                </w:rPr>
                              </w:pPr>
                              <w:r w:rsidRPr="006A2F50">
                                <w:rPr>
                                  <w:rFonts w:ascii="Calibri" w:hAnsi="Calibri" w:cs="Arial"/>
                                  <w:b/>
                                  <w:bCs/>
                                  <w:color w:val="FFFFFF"/>
                                  <w:sz w:val="22"/>
                                  <w:szCs w:val="22"/>
                                </w:rPr>
                                <w:t>A renseigner dans les RE</w:t>
                              </w:r>
                            </w:p>
                            <w:p w:rsidR="005F2452" w:rsidRPr="006A2F50" w:rsidRDefault="005F2452" w:rsidP="005F2452">
                              <w:pPr>
                                <w:shd w:val="clear" w:color="auto" w:fill="8DC63F"/>
                                <w:spacing w:after="0" w:line="240" w:lineRule="auto"/>
                                <w:jc w:val="left"/>
                                <w:rPr>
                                  <w:rFonts w:eastAsia="Times New Roman"/>
                                </w:rPr>
                              </w:pPr>
                              <w:r w:rsidRPr="006A2F50">
                                <w:rPr>
                                  <w:rFonts w:cs="Arial"/>
                                  <w:color w:val="FFFFFF"/>
                                </w:rPr>
                                <w:t>Calcul du taux</w:t>
                              </w:r>
                            </w:p>
                            <w:p w:rsidR="005F2452" w:rsidRPr="006A2F50" w:rsidRDefault="005F2452" w:rsidP="005F2452">
                              <w:pPr>
                                <w:shd w:val="clear" w:color="auto" w:fill="8DC63F"/>
                                <w:spacing w:after="0" w:line="240" w:lineRule="auto"/>
                                <w:jc w:val="left"/>
                                <w:rPr>
                                  <w:rFonts w:eastAsia="Times New Roman"/>
                                </w:rPr>
                              </w:pPr>
                              <w:r w:rsidRPr="006A2F50">
                                <w:rPr>
                                  <w:rFonts w:cs="Arial"/>
                                  <w:color w:val="FFFFFF"/>
                                </w:rPr>
                                <w:t>Extraction informatique si possible</w:t>
                              </w:r>
                            </w:p>
                            <w:p w:rsidR="005F2452" w:rsidRPr="008D6E92" w:rsidRDefault="005F2452" w:rsidP="005F2452">
                              <w:pPr>
                                <w:spacing w:after="0" w:line="240" w:lineRule="auto"/>
                                <w:rPr>
                                  <w:rFonts w:eastAsia="Times New Roman"/>
                                </w:rPr>
                              </w:pPr>
                            </w:p>
                          </w:txbxContent>
                        </wps:txbx>
                        <wps:bodyPr wrap="square" tIns="28800" bIns="28800" rtlCol="0" anchor="ctr">
                          <a:noAutofit/>
                        </wps:bodyPr>
                      </wps:wsp>
                      <wps:wsp>
                        <wps:cNvPr id="19" name="Rectangle à coins arrondis 4"/>
                        <wps:cNvSpPr/>
                        <wps:spPr>
                          <a:xfrm>
                            <a:off x="0" y="0"/>
                            <a:ext cx="2561590" cy="1069340"/>
                          </a:xfrm>
                          <a:prstGeom prst="roundRect">
                            <a:avLst/>
                          </a:prstGeom>
                          <a:solidFill>
                            <a:srgbClr val="4F81BD"/>
                          </a:solidFill>
                          <a:ln w="38100" cap="flat" cmpd="sng" algn="ctr">
                            <a:solidFill>
                              <a:sysClr val="window" lastClr="FFFFFF"/>
                            </a:solidFill>
                            <a:prstDash val="solid"/>
                          </a:ln>
                          <a:effectLst>
                            <a:outerShdw blurRad="40000" dist="20000" dir="5400000" rotWithShape="0">
                              <a:srgbClr val="000000">
                                <a:alpha val="38000"/>
                              </a:srgbClr>
                            </a:outerShdw>
                          </a:effectLst>
                        </wps:spPr>
                        <wps:txbx>
                          <w:txbxContent>
                            <w:p w:rsidR="005F2452" w:rsidRPr="006A2F50" w:rsidRDefault="005F2452" w:rsidP="005F2452">
                              <w:pPr>
                                <w:pStyle w:val="NormalWeb"/>
                                <w:spacing w:before="0" w:beforeAutospacing="0" w:after="0" w:afterAutospacing="0"/>
                                <w:rPr>
                                  <w:sz w:val="22"/>
                                  <w:szCs w:val="22"/>
                                </w:rPr>
                              </w:pPr>
                              <w:r w:rsidRPr="006A2F50">
                                <w:rPr>
                                  <w:rFonts w:ascii="Calibri" w:hAnsi="Calibri" w:cs="Arial"/>
                                  <w:b/>
                                  <w:bCs/>
                                  <w:color w:val="FFFFFF"/>
                                  <w:sz w:val="22"/>
                                  <w:szCs w:val="22"/>
                                </w:rPr>
                                <w:t>Cible régionale</w:t>
                              </w:r>
                              <w:r>
                                <w:rPr>
                                  <w:rFonts w:ascii="Calibri" w:hAnsi="Calibri" w:cs="Arial"/>
                                  <w:b/>
                                  <w:bCs/>
                                  <w:color w:val="FFFFFF"/>
                                  <w:sz w:val="22"/>
                                  <w:szCs w:val="22"/>
                                </w:rPr>
                                <w:t> : aucune</w:t>
                              </w:r>
                            </w:p>
                            <w:p w:rsidR="005F2452" w:rsidRPr="006A2F50" w:rsidRDefault="005F2452" w:rsidP="005F2452">
                              <w:pPr>
                                <w:spacing w:after="0" w:line="240" w:lineRule="auto"/>
                                <w:jc w:val="left"/>
                                <w:rPr>
                                  <w:rFonts w:eastAsia="Times New Roman"/>
                                </w:rPr>
                              </w:pPr>
                              <w:r w:rsidRPr="006A2F50">
                                <w:rPr>
                                  <w:rFonts w:cs="Arial"/>
                                  <w:color w:val="FFFFFF"/>
                                </w:rPr>
                                <w:t>Indicateur de suivi</w:t>
                              </w:r>
                            </w:p>
                            <w:p w:rsidR="005F2452" w:rsidRPr="00255C2E" w:rsidRDefault="005F2452" w:rsidP="005F2452">
                              <w:pPr>
                                <w:spacing w:after="0" w:line="240" w:lineRule="auto"/>
                                <w:jc w:val="left"/>
                                <w:rPr>
                                  <w:rFonts w:eastAsia="Times New Roman"/>
                                </w:rPr>
                              </w:pPr>
                            </w:p>
                          </w:txbxContent>
                        </wps:txbx>
                        <wps:bodyPr wrap="square" tIns="28800" bIns="28800" rtlCol="0" anchor="ctr">
                          <a:noAutofit/>
                        </wps:bodyPr>
                      </wps:wsp>
                    </wpg:wgp>
                  </a:graphicData>
                </a:graphic>
              </wp:inline>
            </w:drawing>
          </mc:Choice>
          <mc:Fallback>
            <w:pict>
              <v:group id="Groupe 17" o:spid="_x0000_s1032" style="width:479.25pt;height:54.75pt;mso-position-horizontal-relative:char;mso-position-vertical-relative:line" coordsize="60864,106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">
                <v:roundrect id="Rectangle à coins arrondis 5" o:spid="_x0000_s1033" style="position:absolute;left:26479;width:34385;height:10693;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m6fxcQA&#10;AADbAAAADwAAAGRycy9kb3ducmV2LnhtbESPQWvCQBCF7wX/wzJCb3UToUFSV2ktBREqqD30OGTH&#10;JDQ7G3dXjf++cxC8zfDevPfNfDm4Tl0oxNazgXySgSKuvG25NvBz+HqZgYoJ2WLnmQzcKMJyMXqa&#10;Y2n9lXd02adaSQjHEg00KfWl1rFqyGGc+J5YtKMPDpOsodY24FXCXaenWVZohy1LQ4M9rRqq/vZn&#10;Z2CbH45beg0ufp7y76kvPja/xWDM83h4fwOVaEgP8/16bQVfYOUXGUAv/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Jun8XEAAAA2wAAAA8AAAAAAAAAAAAAAAAAmAIAAGRycy9k&#10;b3ducmV2LnhtbFBLBQYAAAAABAAEAPUAAACJAwAAAAA=&#10;" fillcolor="#8dc63f" strokecolor="window" strokeweight="3pt">
                  <v:shadow on="t" color="black" opacity="24903f" origin=",.5" offset="0,.55556mm"/>
                  <v:textbox inset=",.8mm,,.8mm">
                    <w:txbxContent>
                      <w:p w:rsidR="005F2452" w:rsidRPr="006A2F50" w:rsidRDefault="005F2452" w:rsidP="005F2452">
                        <w:pPr>
                          <w:pStyle w:val="NormalWeb"/>
                          <w:shd w:val="clear" w:color="auto" w:fill="8DC63F"/>
                          <w:spacing w:before="0" w:beforeAutospacing="0" w:after="0" w:afterAutospacing="0"/>
                          <w:rPr>
                            <w:sz w:val="22"/>
                            <w:szCs w:val="22"/>
                          </w:rPr>
                        </w:pPr>
                        <w:r w:rsidRPr="006A2F50">
                          <w:rPr>
                            <w:rFonts w:ascii="Calibri" w:hAnsi="Calibri" w:cs="Arial"/>
                            <w:b/>
                            <w:bCs/>
                            <w:color w:val="FFFFFF"/>
                            <w:sz w:val="22"/>
                            <w:szCs w:val="22"/>
                          </w:rPr>
                          <w:t>A renseigner dans les RE</w:t>
                        </w:r>
                      </w:p>
                      <w:p w:rsidR="005F2452" w:rsidRPr="006A2F50" w:rsidRDefault="005F2452" w:rsidP="005F2452">
                        <w:pPr>
                          <w:shd w:val="clear" w:color="auto" w:fill="8DC63F"/>
                          <w:spacing w:after="0" w:line="240" w:lineRule="auto"/>
                          <w:jc w:val="left"/>
                          <w:rPr>
                            <w:rFonts w:eastAsia="Times New Roman"/>
                          </w:rPr>
                        </w:pPr>
                        <w:r w:rsidRPr="006A2F50">
                          <w:rPr>
                            <w:rFonts w:cs="Arial"/>
                            <w:color w:val="FFFFFF"/>
                          </w:rPr>
                          <w:t>Calcul du taux</w:t>
                        </w:r>
                      </w:p>
                      <w:p w:rsidR="005F2452" w:rsidRPr="006A2F50" w:rsidRDefault="005F2452" w:rsidP="005F2452">
                        <w:pPr>
                          <w:shd w:val="clear" w:color="auto" w:fill="8DC63F"/>
                          <w:spacing w:after="0" w:line="240" w:lineRule="auto"/>
                          <w:jc w:val="left"/>
                          <w:rPr>
                            <w:rFonts w:eastAsia="Times New Roman"/>
                          </w:rPr>
                        </w:pPr>
                        <w:r w:rsidRPr="006A2F50">
                          <w:rPr>
                            <w:rFonts w:cs="Arial"/>
                            <w:color w:val="FFFFFF"/>
                          </w:rPr>
                          <w:t>Extraction informatique si possible</w:t>
                        </w:r>
                      </w:p>
                      <w:p w:rsidR="005F2452" w:rsidRPr="008D6E92" w:rsidRDefault="005F2452" w:rsidP="005F2452">
                        <w:pPr>
                          <w:spacing w:after="0" w:line="240" w:lineRule="auto"/>
                          <w:rPr>
                            <w:rFonts w:eastAsia="Times New Roman"/>
                          </w:rPr>
                        </w:pPr>
                      </w:p>
                    </w:txbxContent>
                  </v:textbox>
                </v:roundrect>
                <v:roundrect id="Rectangle à coins arrondis 4" o:spid="_x0000_s1034" style="position:absolute;width:25615;height:10693;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OnhkcEA&#10;AADbAAAADwAAAGRycy9kb3ducmV2LnhtbERPTWvCQBC9C/6HZYTedFMDRaOrlJZQvZSq7X3IjklI&#10;djbJrkn8991Cwds83uds96OpRU+dKy0reF5EIIgzq0vOFXxf0vkKhPPIGmvLpOBODva76WSLibYD&#10;n6g/+1yEEHYJKii8bxIpXVaQQbewDXHgrrYz6APscqk7HEK4qeUyil6kwZJDQ4ENvRWUVeebUfBR&#10;Ud3+HN4/I5kdvyoXp62PU6WeZuPrBoSn0T/E/+6DDvPX8PdLOEDuf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Tp4ZHBAAAA2wAAAA8AAAAAAAAAAAAAAAAAmAIAAGRycy9kb3du&#10;cmV2LnhtbFBLBQYAAAAABAAEAPUAAACGAwAAAAA=&#10;" fillcolor="#4f81bd" strokecolor="window" strokeweight="3pt">
                  <v:shadow on="t" color="black" opacity="24903f" origin=",.5" offset="0,.55556mm"/>
                  <v:textbox inset=",.8mm,,.8mm">
                    <w:txbxContent>
                      <w:p w:rsidR="005F2452" w:rsidRPr="006A2F50" w:rsidRDefault="005F2452" w:rsidP="005F2452">
                        <w:pPr>
                          <w:pStyle w:val="NormalWeb"/>
                          <w:spacing w:before="0" w:beforeAutospacing="0" w:after="0" w:afterAutospacing="0"/>
                          <w:rPr>
                            <w:sz w:val="22"/>
                            <w:szCs w:val="22"/>
                          </w:rPr>
                        </w:pPr>
                        <w:r w:rsidRPr="006A2F50">
                          <w:rPr>
                            <w:rFonts w:ascii="Calibri" w:hAnsi="Calibri" w:cs="Arial"/>
                            <w:b/>
                            <w:bCs/>
                            <w:color w:val="FFFFFF"/>
                            <w:sz w:val="22"/>
                            <w:szCs w:val="22"/>
                          </w:rPr>
                          <w:t>Cible régionale</w:t>
                        </w:r>
                        <w:r>
                          <w:rPr>
                            <w:rFonts w:ascii="Calibri" w:hAnsi="Calibri" w:cs="Arial"/>
                            <w:b/>
                            <w:bCs/>
                            <w:color w:val="FFFFFF"/>
                            <w:sz w:val="22"/>
                            <w:szCs w:val="22"/>
                          </w:rPr>
                          <w:t> : aucune</w:t>
                        </w:r>
                      </w:p>
                      <w:p w:rsidR="005F2452" w:rsidRPr="006A2F50" w:rsidRDefault="005F2452" w:rsidP="005F2452">
                        <w:pPr>
                          <w:spacing w:after="0" w:line="240" w:lineRule="auto"/>
                          <w:jc w:val="left"/>
                          <w:rPr>
                            <w:rFonts w:eastAsia="Times New Roman"/>
                          </w:rPr>
                        </w:pPr>
                        <w:r w:rsidRPr="006A2F50">
                          <w:rPr>
                            <w:rFonts w:cs="Arial"/>
                            <w:color w:val="FFFFFF"/>
                          </w:rPr>
                          <w:t>Indicateur de suivi</w:t>
                        </w:r>
                      </w:p>
                      <w:p w:rsidR="005F2452" w:rsidRPr="00255C2E" w:rsidRDefault="005F2452" w:rsidP="005F2452">
                        <w:pPr>
                          <w:spacing w:after="0" w:line="240" w:lineRule="auto"/>
                          <w:jc w:val="left"/>
                          <w:rPr>
                            <w:rFonts w:eastAsia="Times New Roman"/>
                          </w:rPr>
                        </w:pPr>
                      </w:p>
                    </w:txbxContent>
                  </v:textbox>
                </v:roundrect>
                <w10:anchorlock/>
              </v:group>
            </w:pict>
          </mc:Fallback>
        </mc:AlternateContent>
      </w:r>
    </w:p>
    <w:p w:rsidR="0002269D" w:rsidRPr="0002269D" w:rsidRDefault="006A2F50" w:rsidP="0002269D">
      <w:r w:rsidRPr="006A2F50">
        <w:rPr>
          <w:noProof/>
          <w:lang w:eastAsia="fr-FR"/>
        </w:rPr>
        <w:t xml:space="preserve"> </w:t>
      </w:r>
      <w:bookmarkStart w:id="53" w:name="_Toc524602891"/>
      <w:r w:rsidR="0002269D">
        <w:rPr>
          <w:b/>
          <w:bCs/>
        </w:rPr>
        <w:t>NAT_9</w:t>
      </w:r>
      <w:r w:rsidR="0002269D" w:rsidRPr="006A2F50">
        <w:rPr>
          <w:b/>
          <w:bCs/>
        </w:rPr>
        <w:t xml:space="preserve"> : </w:t>
      </w:r>
      <w:r w:rsidR="0002269D">
        <w:rPr>
          <w:b/>
          <w:bCs/>
        </w:rPr>
        <w:t xml:space="preserve">Déploiement de la conciliation médicamenteuse chez les patients </w:t>
      </w:r>
      <w:r w:rsidR="0002269D">
        <w:rPr>
          <w:b/>
          <w:bCs/>
          <w:u w:val="single"/>
        </w:rPr>
        <w:t>priorisés</w:t>
      </w:r>
      <w:r w:rsidR="0002269D">
        <w:rPr>
          <w:b/>
          <w:bCs/>
        </w:rPr>
        <w:t xml:space="preserve"> sur la base d’une analyse des risques</w:t>
      </w:r>
    </w:p>
    <w:p w:rsidR="0002269D" w:rsidRPr="001F7A2F" w:rsidRDefault="0002269D" w:rsidP="005F2452">
      <w:pPr>
        <w:pStyle w:val="Paragraphe"/>
        <w:numPr>
          <w:ilvl w:val="0"/>
          <w:numId w:val="4"/>
        </w:numPr>
        <w:spacing w:after="0"/>
        <w:ind w:hanging="357"/>
        <w:rPr>
          <w:bCs/>
        </w:rPr>
      </w:pPr>
      <w:r w:rsidRPr="001F7A2F">
        <w:rPr>
          <w:bCs/>
        </w:rPr>
        <w:t>Indicateur qualitatif et quantitatif :</w:t>
      </w:r>
    </w:p>
    <w:p w:rsidR="0002269D" w:rsidRPr="001F7A2F" w:rsidRDefault="0002269D" w:rsidP="005F2452">
      <w:pPr>
        <w:pStyle w:val="Paragraphe"/>
        <w:numPr>
          <w:ilvl w:val="1"/>
          <w:numId w:val="4"/>
        </w:numPr>
        <w:spacing w:after="0"/>
        <w:ind w:hanging="357"/>
        <w:rPr>
          <w:bCs/>
        </w:rPr>
      </w:pPr>
      <w:r w:rsidRPr="001F7A2F">
        <w:rPr>
          <w:bCs/>
        </w:rPr>
        <w:lastRenderedPageBreak/>
        <w:t xml:space="preserve">Numérateur = </w:t>
      </w:r>
      <w:r w:rsidRPr="0002269D">
        <w:rPr>
          <w:bCs/>
        </w:rPr>
        <w:t>nombre de patients priorisés et bénéficiant d'une conciliation médicamenteuse d'entrée et/ou de sortie</w:t>
      </w:r>
    </w:p>
    <w:p w:rsidR="0002269D" w:rsidRPr="001F7A2F" w:rsidRDefault="0002269D" w:rsidP="005F2452">
      <w:pPr>
        <w:pStyle w:val="Paragraphe"/>
        <w:numPr>
          <w:ilvl w:val="1"/>
          <w:numId w:val="4"/>
        </w:numPr>
        <w:tabs>
          <w:tab w:val="left" w:pos="284"/>
        </w:tabs>
        <w:spacing w:after="0"/>
        <w:ind w:hanging="357"/>
        <w:rPr>
          <w:bCs/>
        </w:rPr>
      </w:pPr>
      <w:r w:rsidRPr="001F7A2F">
        <w:rPr>
          <w:bCs/>
        </w:rPr>
        <w:t xml:space="preserve">Dénominateur = nombre de séjours de patients priorisés </w:t>
      </w:r>
      <w:r>
        <w:rPr>
          <w:bCs/>
        </w:rPr>
        <w:t xml:space="preserve">hospitalisés </w:t>
      </w:r>
      <w:r w:rsidRPr="001F7A2F">
        <w:rPr>
          <w:bCs/>
        </w:rPr>
        <w:t>(selon la stratégie évoquée en REG_28)</w:t>
      </w:r>
    </w:p>
    <w:p w:rsidR="0002269D" w:rsidRDefault="0002269D" w:rsidP="005F2452">
      <w:pPr>
        <w:numPr>
          <w:ilvl w:val="0"/>
          <w:numId w:val="8"/>
        </w:numPr>
        <w:spacing w:after="0"/>
        <w:ind w:hanging="357"/>
        <w:contextualSpacing/>
      </w:pPr>
      <w:r w:rsidRPr="00B024AB">
        <w:t>Correspond à la mise en œuvre effective de la stratégie de déploiement</w:t>
      </w:r>
    </w:p>
    <w:p w:rsidR="009D5C70" w:rsidRPr="00B024AB" w:rsidRDefault="009D5C70" w:rsidP="009D5C70">
      <w:r>
        <w:rPr>
          <w:b/>
          <w:noProof/>
          <w:lang w:eastAsia="fr-FR"/>
        </w:rPr>
        <mc:AlternateContent>
          <mc:Choice Requires="wpg">
            <w:drawing>
              <wp:inline distT="0" distB="0" distL="0" distR="0" wp14:anchorId="5E1154F2" wp14:editId="59F4A08E">
                <wp:extent cx="6105524" cy="1066800"/>
                <wp:effectExtent l="76200" t="57150" r="67310" b="95250"/>
                <wp:docPr id="20" name="Groupe 20"/>
                <wp:cNvGraphicFramePr/>
                <a:graphic xmlns:a="http://schemas.openxmlformats.org/drawingml/2006/main">
                  <a:graphicData uri="http://schemas.microsoft.com/office/word/2010/wordprocessingGroup">
                    <wpg:wgp>
                      <wpg:cNvGrpSpPr/>
                      <wpg:grpSpPr>
                        <a:xfrm>
                          <a:off x="0" y="0"/>
                          <a:ext cx="6105524" cy="1066800"/>
                          <a:chOff x="0" y="0"/>
                          <a:chExt cx="6105524" cy="1069340"/>
                        </a:xfrm>
                      </wpg:grpSpPr>
                      <wps:wsp>
                        <wps:cNvPr id="21" name="Rectangle à coins arrondis 5"/>
                        <wps:cNvSpPr/>
                        <wps:spPr>
                          <a:xfrm>
                            <a:off x="2647949" y="0"/>
                            <a:ext cx="3457575" cy="1069340"/>
                          </a:xfrm>
                          <a:prstGeom prst="roundRect">
                            <a:avLst/>
                          </a:prstGeom>
                          <a:solidFill>
                            <a:srgbClr val="8DC63F"/>
                          </a:solidFill>
                          <a:ln w="38100" cap="flat" cmpd="sng" algn="ctr">
                            <a:solidFill>
                              <a:sysClr val="window" lastClr="FFFFFF"/>
                            </a:solidFill>
                            <a:prstDash val="solid"/>
                          </a:ln>
                          <a:effectLst>
                            <a:outerShdw blurRad="40000" dist="20000" dir="5400000" rotWithShape="0">
                              <a:srgbClr val="000000">
                                <a:alpha val="38000"/>
                              </a:srgbClr>
                            </a:outerShdw>
                          </a:effectLst>
                        </wps:spPr>
                        <wps:txbx>
                          <w:txbxContent>
                            <w:p w:rsidR="009D5C70" w:rsidRPr="006A2F50" w:rsidRDefault="009D5C70" w:rsidP="009D5C70">
                              <w:pPr>
                                <w:pStyle w:val="NormalWeb"/>
                                <w:shd w:val="clear" w:color="auto" w:fill="8DC63F"/>
                                <w:spacing w:before="0" w:beforeAutospacing="0" w:after="0" w:afterAutospacing="0"/>
                                <w:rPr>
                                  <w:sz w:val="22"/>
                                  <w:szCs w:val="22"/>
                                </w:rPr>
                              </w:pPr>
                              <w:r w:rsidRPr="006A2F50">
                                <w:rPr>
                                  <w:rFonts w:ascii="Calibri" w:hAnsi="Calibri" w:cs="Arial"/>
                                  <w:b/>
                                  <w:bCs/>
                                  <w:color w:val="FFFFFF"/>
                                  <w:sz w:val="22"/>
                                  <w:szCs w:val="22"/>
                                </w:rPr>
                                <w:t>A renseigner dans les RE</w:t>
                              </w:r>
                            </w:p>
                            <w:p w:rsidR="009D5C70" w:rsidRPr="006A2F50" w:rsidRDefault="009D5C70" w:rsidP="009D5C70">
                              <w:pPr>
                                <w:shd w:val="clear" w:color="auto" w:fill="8DC63F"/>
                                <w:spacing w:after="0" w:line="240" w:lineRule="auto"/>
                                <w:jc w:val="left"/>
                                <w:rPr>
                                  <w:rFonts w:eastAsia="Times New Roman"/>
                                </w:rPr>
                              </w:pPr>
                              <w:r w:rsidRPr="006A2F50">
                                <w:rPr>
                                  <w:rFonts w:cs="Arial"/>
                                  <w:color w:val="FFFFFF"/>
                                </w:rPr>
                                <w:t>Calcul du taux</w:t>
                              </w:r>
                            </w:p>
                            <w:p w:rsidR="009D5C70" w:rsidRPr="006A2F50" w:rsidRDefault="009D5C70" w:rsidP="009D5C70">
                              <w:pPr>
                                <w:shd w:val="clear" w:color="auto" w:fill="8DC63F"/>
                                <w:spacing w:after="0" w:line="240" w:lineRule="auto"/>
                                <w:jc w:val="left"/>
                                <w:rPr>
                                  <w:rFonts w:eastAsia="Times New Roman"/>
                                </w:rPr>
                              </w:pPr>
                              <w:r w:rsidRPr="006A2F50">
                                <w:rPr>
                                  <w:rFonts w:cs="Arial"/>
                                  <w:color w:val="FFFFFF"/>
                                </w:rPr>
                                <w:t>Nécessite une extraction du nombre de patients priorisés</w:t>
                              </w:r>
                              <w:r>
                                <w:rPr>
                                  <w:rFonts w:cs="Arial"/>
                                  <w:color w:val="FFFFFF"/>
                                </w:rPr>
                                <w:t xml:space="preserve"> hospitalisés</w:t>
                              </w:r>
                              <w:r w:rsidRPr="006A2F50">
                                <w:rPr>
                                  <w:rFonts w:cs="Arial"/>
                                  <w:color w:val="FFFFFF"/>
                                </w:rPr>
                                <w:t xml:space="preserve"> : requête (ou estimation à partir d’un audit et extrapolation)</w:t>
                              </w:r>
                            </w:p>
                            <w:p w:rsidR="009D5C70" w:rsidRPr="008D6E92" w:rsidRDefault="009D5C70" w:rsidP="009D5C70">
                              <w:pPr>
                                <w:spacing w:after="0" w:line="240" w:lineRule="auto"/>
                                <w:rPr>
                                  <w:rFonts w:eastAsia="Times New Roman"/>
                                </w:rPr>
                              </w:pPr>
                            </w:p>
                          </w:txbxContent>
                        </wps:txbx>
                        <wps:bodyPr wrap="square" tIns="28800" bIns="28800" rtlCol="0" anchor="ctr">
                          <a:noAutofit/>
                        </wps:bodyPr>
                      </wps:wsp>
                      <wps:wsp>
                        <wps:cNvPr id="22" name="Rectangle à coins arrondis 4"/>
                        <wps:cNvSpPr/>
                        <wps:spPr>
                          <a:xfrm>
                            <a:off x="0" y="0"/>
                            <a:ext cx="2561590" cy="1069340"/>
                          </a:xfrm>
                          <a:prstGeom prst="roundRect">
                            <a:avLst/>
                          </a:prstGeom>
                          <a:solidFill>
                            <a:srgbClr val="4F81BD"/>
                          </a:solidFill>
                          <a:ln w="38100" cap="flat" cmpd="sng" algn="ctr">
                            <a:solidFill>
                              <a:sysClr val="window" lastClr="FFFFFF"/>
                            </a:solidFill>
                            <a:prstDash val="solid"/>
                          </a:ln>
                          <a:effectLst>
                            <a:outerShdw blurRad="40000" dist="20000" dir="5400000" rotWithShape="0">
                              <a:srgbClr val="000000">
                                <a:alpha val="38000"/>
                              </a:srgbClr>
                            </a:outerShdw>
                          </a:effectLst>
                        </wps:spPr>
                        <wps:txbx>
                          <w:txbxContent>
                            <w:p w:rsidR="009D5C70" w:rsidRPr="00B024AB" w:rsidRDefault="009D5C70" w:rsidP="009D5C70">
                              <w:pPr>
                                <w:pStyle w:val="NormalWeb"/>
                                <w:spacing w:before="0" w:beforeAutospacing="0" w:after="0" w:afterAutospacing="0"/>
                                <w:rPr>
                                  <w:sz w:val="18"/>
                                </w:rPr>
                              </w:pPr>
                              <w:r w:rsidRPr="00B024AB">
                                <w:rPr>
                                  <w:rFonts w:ascii="Calibri" w:hAnsi="Calibri" w:cs="Arial"/>
                                  <w:b/>
                                  <w:bCs/>
                                  <w:color w:val="FFFFFF"/>
                                  <w:sz w:val="22"/>
                                  <w:szCs w:val="32"/>
                                </w:rPr>
                                <w:t>Cible régionale</w:t>
                              </w:r>
                            </w:p>
                            <w:p w:rsidR="009D5C70" w:rsidRPr="00B024AB" w:rsidRDefault="009D5C70" w:rsidP="009D5C70">
                              <w:pPr>
                                <w:spacing w:after="0" w:line="240" w:lineRule="auto"/>
                                <w:jc w:val="left"/>
                                <w:rPr>
                                  <w:rFonts w:eastAsia="Times New Roman"/>
                                </w:rPr>
                              </w:pPr>
                              <w:r w:rsidRPr="00B024AB">
                                <w:rPr>
                                  <w:rFonts w:cs="Arial"/>
                                  <w:color w:val="FFFFFF"/>
                                  <w:szCs w:val="32"/>
                                </w:rPr>
                                <w:t xml:space="preserve">A échéance 2022 : </w:t>
                              </w:r>
                              <w:r w:rsidRPr="00B024AB">
                                <w:rPr>
                                  <w:rFonts w:cs="Arial"/>
                                  <w:b/>
                                  <w:bCs/>
                                  <w:color w:val="FFFFFF"/>
                                  <w:szCs w:val="32"/>
                                </w:rPr>
                                <w:t xml:space="preserve">90% des patients </w:t>
                              </w:r>
                              <w:r w:rsidRPr="00B024AB">
                                <w:rPr>
                                  <w:rFonts w:cs="Arial"/>
                                  <w:b/>
                                  <w:bCs/>
                                  <w:color w:val="FFFFFF"/>
                                  <w:szCs w:val="32"/>
                                  <w:u w:val="single"/>
                                </w:rPr>
                                <w:t>priorisés</w:t>
                              </w:r>
                              <w:r w:rsidRPr="00B024AB">
                                <w:rPr>
                                  <w:rFonts w:cs="Arial"/>
                                  <w:color w:val="FFFFFF"/>
                                  <w:szCs w:val="32"/>
                                </w:rPr>
                                <w:t xml:space="preserve"> bénéficient d’un</w:t>
                              </w:r>
                              <w:r>
                                <w:rPr>
                                  <w:rFonts w:cs="Arial"/>
                                  <w:color w:val="FFFFFF"/>
                                  <w:szCs w:val="32"/>
                                </w:rPr>
                                <w:t xml:space="preserve">e </w:t>
                              </w:r>
                              <w:r w:rsidRPr="0002269D">
                                <w:rPr>
                                  <w:rFonts w:cs="Arial"/>
                                  <w:color w:val="FFFFFF"/>
                                  <w:szCs w:val="32"/>
                                </w:rPr>
                                <w:t>conciliation médicamenteuse (entrée et/ou sortie)</w:t>
                              </w:r>
                            </w:p>
                            <w:p w:rsidR="009D5C70" w:rsidRPr="00255C2E" w:rsidRDefault="009D5C70" w:rsidP="009D5C70">
                              <w:pPr>
                                <w:spacing w:after="0" w:line="240" w:lineRule="auto"/>
                                <w:jc w:val="left"/>
                                <w:rPr>
                                  <w:rFonts w:eastAsia="Times New Roman"/>
                                </w:rPr>
                              </w:pPr>
                            </w:p>
                          </w:txbxContent>
                        </wps:txbx>
                        <wps:bodyPr wrap="square" tIns="28800" bIns="28800" rtlCol="0" anchor="ctr">
                          <a:noAutofit/>
                        </wps:bodyPr>
                      </wps:wsp>
                    </wpg:wgp>
                  </a:graphicData>
                </a:graphic>
              </wp:inline>
            </w:drawing>
          </mc:Choice>
          <mc:Fallback>
            <w:pict>
              <v:group id="Groupe 20" o:spid="_x0000_s1035" style="width:480.75pt;height:84pt;mso-position-horizontal-relative:char;mso-position-vertical-relative:line" coordsize="61055,106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">
                <v:roundrect id="Rectangle à coins arrondis 5" o:spid="_x0000_s1036" style="position:absolute;left:26479;width:34576;height:10693;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Tj85cQA&#10;AADbAAAADwAAAGRycy9kb3ducmV2LnhtbESPQWvCQBSE7wX/w/KE3uomAUOJboJaBClUqHrw+Mg+&#10;k2D2bbq7avrvu4VCj8PMfMMsq9H04k7Od5YVpLMEBHFtdceNgtNx+/IKwgdkjb1lUvBNHqpy8rTE&#10;QtsHf9L9EBoRIewLVNCGMBRS+rolg35mB+LoXawzGKJ0jdQOHxFuepklSS4NdhwXWhxo01J9PdyM&#10;gn16vOxp7ox/+0o/Mpuv38/5qNTzdFwtQAQaw3/4r73TCrIUfr/EHyD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04/OXEAAAA2wAAAA8AAAAAAAAAAAAAAAAAmAIAAGRycy9k&#10;b3ducmV2LnhtbFBLBQYAAAAABAAEAPUAAACJAwAAAAA=&#10;" fillcolor="#8dc63f" strokecolor="window" strokeweight="3pt">
                  <v:shadow on="t" color="black" opacity="24903f" origin=",.5" offset="0,.55556mm"/>
                  <v:textbox inset=",.8mm,,.8mm">
                    <w:txbxContent>
                      <w:p w:rsidR="009D5C70" w:rsidRPr="006A2F50" w:rsidRDefault="009D5C70" w:rsidP="009D5C70">
                        <w:pPr>
                          <w:pStyle w:val="NormalWeb"/>
                          <w:shd w:val="clear" w:color="auto" w:fill="8DC63F"/>
                          <w:spacing w:before="0" w:beforeAutospacing="0" w:after="0" w:afterAutospacing="0"/>
                          <w:rPr>
                            <w:sz w:val="22"/>
                            <w:szCs w:val="22"/>
                          </w:rPr>
                        </w:pPr>
                        <w:r w:rsidRPr="006A2F50">
                          <w:rPr>
                            <w:rFonts w:ascii="Calibri" w:hAnsi="Calibri" w:cs="Arial"/>
                            <w:b/>
                            <w:bCs/>
                            <w:color w:val="FFFFFF"/>
                            <w:sz w:val="22"/>
                            <w:szCs w:val="22"/>
                          </w:rPr>
                          <w:t>A renseigner dans les RE</w:t>
                        </w:r>
                      </w:p>
                      <w:p w:rsidR="009D5C70" w:rsidRPr="006A2F50" w:rsidRDefault="009D5C70" w:rsidP="009D5C70">
                        <w:pPr>
                          <w:shd w:val="clear" w:color="auto" w:fill="8DC63F"/>
                          <w:spacing w:after="0" w:line="240" w:lineRule="auto"/>
                          <w:jc w:val="left"/>
                          <w:rPr>
                            <w:rFonts w:eastAsia="Times New Roman"/>
                          </w:rPr>
                        </w:pPr>
                        <w:r w:rsidRPr="006A2F50">
                          <w:rPr>
                            <w:rFonts w:cs="Arial"/>
                            <w:color w:val="FFFFFF"/>
                          </w:rPr>
                          <w:t>Calcul du taux</w:t>
                        </w:r>
                      </w:p>
                      <w:p w:rsidR="009D5C70" w:rsidRPr="006A2F50" w:rsidRDefault="009D5C70" w:rsidP="009D5C70">
                        <w:pPr>
                          <w:shd w:val="clear" w:color="auto" w:fill="8DC63F"/>
                          <w:spacing w:after="0" w:line="240" w:lineRule="auto"/>
                          <w:jc w:val="left"/>
                          <w:rPr>
                            <w:rFonts w:eastAsia="Times New Roman"/>
                          </w:rPr>
                        </w:pPr>
                        <w:r w:rsidRPr="006A2F50">
                          <w:rPr>
                            <w:rFonts w:cs="Arial"/>
                            <w:color w:val="FFFFFF"/>
                          </w:rPr>
                          <w:t>Nécessite une extraction du nombre de patients priorisés</w:t>
                        </w:r>
                        <w:r>
                          <w:rPr>
                            <w:rFonts w:cs="Arial"/>
                            <w:color w:val="FFFFFF"/>
                          </w:rPr>
                          <w:t xml:space="preserve"> hospitalisés</w:t>
                        </w:r>
                        <w:r w:rsidRPr="006A2F50">
                          <w:rPr>
                            <w:rFonts w:cs="Arial"/>
                            <w:color w:val="FFFFFF"/>
                          </w:rPr>
                          <w:t xml:space="preserve"> : requête (ou estimation à partir d’un audit et extrapolation)</w:t>
                        </w:r>
                      </w:p>
                      <w:p w:rsidR="009D5C70" w:rsidRPr="008D6E92" w:rsidRDefault="009D5C70" w:rsidP="009D5C70">
                        <w:pPr>
                          <w:spacing w:after="0" w:line="240" w:lineRule="auto"/>
                          <w:rPr>
                            <w:rFonts w:eastAsia="Times New Roman"/>
                          </w:rPr>
                        </w:pPr>
                      </w:p>
                    </w:txbxContent>
                  </v:textbox>
                </v:roundrect>
                <v:roundrect id="Rectangle à coins arrondis 4" o:spid="_x0000_s1037" style="position:absolute;width:25615;height:10693;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G5XcMA&#10;AADbAAAADwAAAGRycy9kb3ducmV2LnhtbESPzWrDMBCE74W8g9hAbo0cG0pxo4TSYOpcSpuf+2Jt&#10;bWNrZVuq47x9VAjkOMzMN8x6O5lWjDS42rKC1TICQVxYXXOp4HTMnl9BOI+ssbVMCq7kYLuZPa0x&#10;1fbCPzQefCkChF2KCirvu1RKV1Rk0C1tRxy8XzsY9EEOpdQDXgLctDKOohdpsOawUGFHHxUVzeHP&#10;KPhsqO3P+e4rksX+u3FJ1vskU2oxn97fQHia/CN8b+daQRzD/5fwA+Tm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CG5XcMAAADbAAAADwAAAAAAAAAAAAAAAACYAgAAZHJzL2Rv&#10;d25yZXYueG1sUEsFBgAAAAAEAAQA9QAAAIgDAAAAAA==&#10;" fillcolor="#4f81bd" strokecolor="window" strokeweight="3pt">
                  <v:shadow on="t" color="black" opacity="24903f" origin=",.5" offset="0,.55556mm"/>
                  <v:textbox inset=",.8mm,,.8mm">
                    <w:txbxContent>
                      <w:p w:rsidR="009D5C70" w:rsidRPr="00B024AB" w:rsidRDefault="009D5C70" w:rsidP="009D5C70">
                        <w:pPr>
                          <w:pStyle w:val="NormalWeb"/>
                          <w:spacing w:before="0" w:beforeAutospacing="0" w:after="0" w:afterAutospacing="0"/>
                          <w:rPr>
                            <w:sz w:val="18"/>
                          </w:rPr>
                        </w:pPr>
                        <w:r w:rsidRPr="00B024AB">
                          <w:rPr>
                            <w:rFonts w:ascii="Calibri" w:hAnsi="Calibri" w:cs="Arial"/>
                            <w:b/>
                            <w:bCs/>
                            <w:color w:val="FFFFFF"/>
                            <w:sz w:val="22"/>
                            <w:szCs w:val="32"/>
                          </w:rPr>
                          <w:t>Cible régionale</w:t>
                        </w:r>
                      </w:p>
                      <w:p w:rsidR="009D5C70" w:rsidRPr="00B024AB" w:rsidRDefault="009D5C70" w:rsidP="009D5C70">
                        <w:pPr>
                          <w:spacing w:after="0" w:line="240" w:lineRule="auto"/>
                          <w:jc w:val="left"/>
                          <w:rPr>
                            <w:rFonts w:eastAsia="Times New Roman"/>
                          </w:rPr>
                        </w:pPr>
                        <w:r w:rsidRPr="00B024AB">
                          <w:rPr>
                            <w:rFonts w:cs="Arial"/>
                            <w:color w:val="FFFFFF"/>
                            <w:szCs w:val="32"/>
                          </w:rPr>
                          <w:t xml:space="preserve">A échéance 2022 : </w:t>
                        </w:r>
                        <w:r w:rsidRPr="00B024AB">
                          <w:rPr>
                            <w:rFonts w:cs="Arial"/>
                            <w:b/>
                            <w:bCs/>
                            <w:color w:val="FFFFFF"/>
                            <w:szCs w:val="32"/>
                          </w:rPr>
                          <w:t xml:space="preserve">90% des patients </w:t>
                        </w:r>
                        <w:r w:rsidRPr="00B024AB">
                          <w:rPr>
                            <w:rFonts w:cs="Arial"/>
                            <w:b/>
                            <w:bCs/>
                            <w:color w:val="FFFFFF"/>
                            <w:szCs w:val="32"/>
                            <w:u w:val="single"/>
                          </w:rPr>
                          <w:t>priorisés</w:t>
                        </w:r>
                        <w:r w:rsidRPr="00B024AB">
                          <w:rPr>
                            <w:rFonts w:cs="Arial"/>
                            <w:color w:val="FFFFFF"/>
                            <w:szCs w:val="32"/>
                          </w:rPr>
                          <w:t xml:space="preserve"> bénéficient d’un</w:t>
                        </w:r>
                        <w:r>
                          <w:rPr>
                            <w:rFonts w:cs="Arial"/>
                            <w:color w:val="FFFFFF"/>
                            <w:szCs w:val="32"/>
                          </w:rPr>
                          <w:t xml:space="preserve">e </w:t>
                        </w:r>
                        <w:r w:rsidRPr="0002269D">
                          <w:rPr>
                            <w:rFonts w:cs="Arial"/>
                            <w:color w:val="FFFFFF"/>
                            <w:szCs w:val="32"/>
                          </w:rPr>
                          <w:t>conciliation médicamenteuse (entrée et/ou sortie)</w:t>
                        </w:r>
                      </w:p>
                      <w:p w:rsidR="009D5C70" w:rsidRPr="00255C2E" w:rsidRDefault="009D5C70" w:rsidP="009D5C70">
                        <w:pPr>
                          <w:spacing w:after="0" w:line="240" w:lineRule="auto"/>
                          <w:jc w:val="left"/>
                          <w:rPr>
                            <w:rFonts w:eastAsia="Times New Roman"/>
                          </w:rPr>
                        </w:pPr>
                      </w:p>
                    </w:txbxContent>
                  </v:textbox>
                </v:roundrect>
                <w10:anchorlock/>
              </v:group>
            </w:pict>
          </mc:Fallback>
        </mc:AlternateContent>
      </w:r>
    </w:p>
    <w:p w:rsidR="00042A85" w:rsidRDefault="00042A85" w:rsidP="00746642">
      <w:pPr>
        <w:pStyle w:val="Style2"/>
        <w:numPr>
          <w:ilvl w:val="0"/>
          <w:numId w:val="2"/>
        </w:numPr>
      </w:pPr>
      <w:r>
        <w:t>Indicateurs internes</w:t>
      </w:r>
      <w:bookmarkEnd w:id="53"/>
    </w:p>
    <w:p w:rsidR="00A250F3" w:rsidRDefault="006A2F50" w:rsidP="003768DC">
      <w:r>
        <w:t>L’OMEDIT propose en parallèle de suivre d’autres indicateurs d’activité et d’impact en ce qui concerne la c</w:t>
      </w:r>
      <w:r w:rsidR="00A250F3">
        <w:t>onciliation médicamenteuse :</w:t>
      </w:r>
    </w:p>
    <w:p w:rsidR="00A250F3" w:rsidRDefault="00986060" w:rsidP="003768DC">
      <w:hyperlink r:id="rId17" w:history="1">
        <w:r w:rsidR="00A250F3" w:rsidRPr="00A17051">
          <w:rPr>
            <w:rStyle w:val="Lienhypertexte"/>
          </w:rPr>
          <w:t>http://www.omedit-paysdelaloire.fr/fr/parcours/conciliation/evaluation</w:t>
        </w:r>
      </w:hyperlink>
    </w:p>
    <w:p w:rsidR="006A2F50" w:rsidRDefault="006A2F50" w:rsidP="003768DC">
      <w:r>
        <w:t xml:space="preserve">Chaque établissement peut suivre </w:t>
      </w:r>
      <w:r w:rsidR="00BD2175">
        <w:t>d’autres</w:t>
      </w:r>
      <w:r>
        <w:t xml:space="preserve"> indicateurs qui lui seront propres, en termes :</w:t>
      </w:r>
    </w:p>
    <w:p w:rsidR="006A2F50" w:rsidRDefault="006A2F50" w:rsidP="00746642">
      <w:pPr>
        <w:pStyle w:val="Paragraphedeliste"/>
        <w:numPr>
          <w:ilvl w:val="0"/>
          <w:numId w:val="5"/>
        </w:numPr>
      </w:pPr>
      <w:r w:rsidRPr="001F7A2F">
        <w:rPr>
          <w:b/>
        </w:rPr>
        <w:t>D’évolution de l’activité </w:t>
      </w:r>
      <w:r>
        <w:t>: temps/ressources dédiés, nombre de patients/séjours concernés…</w:t>
      </w:r>
    </w:p>
    <w:p w:rsidR="006A2F50" w:rsidRDefault="006A2F50" w:rsidP="00746642">
      <w:pPr>
        <w:pStyle w:val="Paragraphedeliste"/>
        <w:numPr>
          <w:ilvl w:val="0"/>
          <w:numId w:val="5"/>
        </w:numPr>
      </w:pPr>
      <w:r w:rsidRPr="001F7A2F">
        <w:rPr>
          <w:b/>
        </w:rPr>
        <w:t>D’impact clinique</w:t>
      </w:r>
      <w:r>
        <w:t> : erreurs détectées, gravités potentielles…</w:t>
      </w:r>
    </w:p>
    <w:p w:rsidR="006A2F50" w:rsidRDefault="006A2F50" w:rsidP="00746642">
      <w:pPr>
        <w:pStyle w:val="Paragraphedeliste"/>
        <w:numPr>
          <w:ilvl w:val="0"/>
          <w:numId w:val="5"/>
        </w:numPr>
      </w:pPr>
      <w:r w:rsidRPr="001F7A2F">
        <w:rPr>
          <w:b/>
        </w:rPr>
        <w:t>D’impact financier</w:t>
      </w:r>
      <w:r>
        <w:t> : gain en termes de durée moyenne de séjours, de séjours évités, de dépenses de produits de santé, d’assurance pour l’établissement…</w:t>
      </w:r>
    </w:p>
    <w:p w:rsidR="00BD2175" w:rsidRDefault="00BD2175" w:rsidP="00746642">
      <w:pPr>
        <w:pStyle w:val="Paragraphedeliste"/>
        <w:numPr>
          <w:ilvl w:val="0"/>
          <w:numId w:val="5"/>
        </w:numPr>
      </w:pPr>
      <w:r>
        <w:t>De satisfaction des professionnels/des patients</w:t>
      </w:r>
    </w:p>
    <w:p w:rsidR="00BD2175" w:rsidRDefault="006A2F50" w:rsidP="00746642">
      <w:pPr>
        <w:pStyle w:val="Paragraphedeliste"/>
        <w:numPr>
          <w:ilvl w:val="0"/>
          <w:numId w:val="5"/>
        </w:numPr>
      </w:pPr>
      <w:r w:rsidRPr="001F7A2F">
        <w:rPr>
          <w:b/>
        </w:rPr>
        <w:t>De pertinence</w:t>
      </w:r>
      <w:r w:rsidR="00BD2175" w:rsidRPr="001F7A2F">
        <w:rPr>
          <w:b/>
        </w:rPr>
        <w:t xml:space="preserve"> et d’efficience</w:t>
      </w:r>
      <w:r>
        <w:t xml:space="preserve"> : </w:t>
      </w:r>
      <w:r w:rsidR="00BD2175">
        <w:t>impact clinique en regard des indicateurs d’activité, interventions pharmaceutiques ayant entraîné des modifications/ayant évité des événements indésirables</w:t>
      </w:r>
    </w:p>
    <w:p w:rsidR="005F2452" w:rsidRDefault="00BD2175" w:rsidP="005F2452">
      <w:pPr>
        <w:pStyle w:val="Citation"/>
      </w:pPr>
      <w:r w:rsidRPr="00BD2175">
        <w:sym w:font="Wingdings" w:char="F024"/>
      </w:r>
      <w:r w:rsidRPr="00BD2175">
        <w:t xml:space="preserve">  Ces indicateurs en particulier doivent permettre</w:t>
      </w:r>
      <w:r w:rsidR="006A2F50" w:rsidRPr="00BD2175">
        <w:t xml:space="preserve"> la réévaluation et l’évolution de la stratégie si né</w:t>
      </w:r>
      <w:r w:rsidRPr="00BD2175">
        <w:t>cessaire.</w:t>
      </w:r>
      <w:bookmarkStart w:id="54" w:name="_Toc524602892"/>
    </w:p>
    <w:p w:rsidR="00D90A17" w:rsidRDefault="00D90A17" w:rsidP="00D90A17">
      <w:pPr>
        <w:pStyle w:val="Paragraphe"/>
      </w:pPr>
    </w:p>
    <w:p w:rsidR="00042A85" w:rsidRDefault="00042A85" w:rsidP="00746642">
      <w:pPr>
        <w:pStyle w:val="Style2"/>
        <w:numPr>
          <w:ilvl w:val="0"/>
          <w:numId w:val="2"/>
        </w:numPr>
      </w:pPr>
      <w:r>
        <w:t>Réévaluation de la stratégie</w:t>
      </w:r>
      <w:bookmarkEnd w:id="54"/>
    </w:p>
    <w:p w:rsidR="00BD2175" w:rsidRDefault="00BD2175" w:rsidP="00042A85">
      <w:pPr>
        <w:pStyle w:val="Paragraphe"/>
      </w:pPr>
      <w:r>
        <w:t>Cette réévaluation doit prendre en compte :</w:t>
      </w:r>
    </w:p>
    <w:p w:rsidR="00BD2175" w:rsidRDefault="00BD2175" w:rsidP="00746642">
      <w:pPr>
        <w:pStyle w:val="Paragraphe"/>
        <w:numPr>
          <w:ilvl w:val="0"/>
          <w:numId w:val="5"/>
        </w:numPr>
      </w:pPr>
      <w:r>
        <w:t>Les objectifs initiaux de la stratégie</w:t>
      </w:r>
    </w:p>
    <w:p w:rsidR="00BD2175" w:rsidRDefault="00BD2175" w:rsidP="00746642">
      <w:pPr>
        <w:pStyle w:val="Paragraphe"/>
        <w:numPr>
          <w:ilvl w:val="0"/>
          <w:numId w:val="5"/>
        </w:numPr>
      </w:pPr>
      <w:r>
        <w:t>Les résultats des indicateurs et notamment des indicateurs de pertinence et d’efficience</w:t>
      </w:r>
    </w:p>
    <w:p w:rsidR="003924B6" w:rsidRDefault="003924B6" w:rsidP="003924B6">
      <w:pPr>
        <w:pStyle w:val="Paragraphe"/>
        <w:numPr>
          <w:ilvl w:val="0"/>
          <w:numId w:val="5"/>
        </w:numPr>
      </w:pPr>
      <w:r>
        <w:t xml:space="preserve">L’état des lieux, l’atteinte des objectifs initiaux </w:t>
      </w:r>
      <w:r w:rsidRPr="00042A85">
        <w:t xml:space="preserve">= ce </w:t>
      </w:r>
      <w:r>
        <w:t>qui a ré</w:t>
      </w:r>
      <w:r w:rsidRPr="00042A85">
        <w:t>ellement</w:t>
      </w:r>
      <w:r>
        <w:t xml:space="preserve"> été</w:t>
      </w:r>
      <w:r w:rsidRPr="00042A85">
        <w:t xml:space="preserve"> fait</w:t>
      </w:r>
    </w:p>
    <w:p w:rsidR="003924B6" w:rsidRDefault="003924B6" w:rsidP="00746642">
      <w:pPr>
        <w:pStyle w:val="Paragraphe"/>
        <w:numPr>
          <w:ilvl w:val="0"/>
          <w:numId w:val="5"/>
        </w:numPr>
      </w:pPr>
      <w:r>
        <w:t>L’évolution des objectifs initiaux perçue comme nécessaire par les professionnels (évaluation qualitative).</w:t>
      </w:r>
    </w:p>
    <w:p w:rsidR="003924B6" w:rsidRDefault="003924B6" w:rsidP="003924B6">
      <w:pPr>
        <w:pStyle w:val="Paragraphe"/>
      </w:pPr>
      <w:r>
        <w:t>Le tout pourra conduire à faire évoluer, modifier la stratégie.</w:t>
      </w:r>
    </w:p>
    <w:p w:rsidR="00042A85" w:rsidRDefault="00BD2175" w:rsidP="005F2452">
      <w:pPr>
        <w:spacing w:after="0"/>
        <w:rPr>
          <w:b/>
          <w:color w:val="034EA2"/>
          <w:u w:val="single"/>
        </w:rPr>
      </w:pPr>
      <w:r>
        <w:t>Il appartient à chaque établissement de définir la fréquence de réévaluation de sa stratégie.</w:t>
      </w:r>
      <w:r w:rsidR="004B4781">
        <w:t xml:space="preserve"> Les </w:t>
      </w:r>
      <w:r w:rsidR="00746642">
        <w:t>contextes tel</w:t>
      </w:r>
      <w:r w:rsidR="004B4781">
        <w:t>s que</w:t>
      </w:r>
      <w:r w:rsidR="00746642">
        <w:t xml:space="preserve"> l’élaboration d’un</w:t>
      </w:r>
      <w:r w:rsidR="004B4781">
        <w:t xml:space="preserve"> nouveau projet d’établissement, </w:t>
      </w:r>
      <w:r w:rsidR="00746642">
        <w:t>la signature d’un nouveau contrat avec l’ARS (CPOM, CAQES…) sont l’occasion de faire cette réévaluation.</w:t>
      </w:r>
      <w:r w:rsidR="00042A85">
        <w:rPr>
          <w:b/>
          <w:color w:val="034EA2"/>
          <w:u w:val="single"/>
        </w:rPr>
        <w:br w:type="page"/>
      </w:r>
    </w:p>
    <w:p w:rsidR="00042A85" w:rsidRPr="006150BF" w:rsidRDefault="0033307C" w:rsidP="00042A85">
      <w:pPr>
        <w:pStyle w:val="Style1"/>
      </w:pPr>
      <w:bookmarkStart w:id="55" w:name="_Toc524602893"/>
      <w:r>
        <w:lastRenderedPageBreak/>
        <w:t>VALORISE</w:t>
      </w:r>
      <w:r w:rsidR="00042A85">
        <w:t>R SA STRATEGIE DE</w:t>
      </w:r>
      <w:r w:rsidR="00042A85" w:rsidRPr="006150BF">
        <w:t xml:space="preserve"> PHARMACIE CLINIQUE</w:t>
      </w:r>
      <w:bookmarkEnd w:id="55"/>
    </w:p>
    <w:p w:rsidR="006150BF" w:rsidRDefault="006150BF">
      <w:pPr>
        <w:spacing w:after="0" w:line="240" w:lineRule="auto"/>
        <w:rPr>
          <w:color w:val="034EA2"/>
        </w:rPr>
      </w:pPr>
    </w:p>
    <w:p w:rsidR="0033307C" w:rsidRPr="00746642" w:rsidRDefault="00E20DCE" w:rsidP="00746642">
      <w:pPr>
        <w:pStyle w:val="Style2"/>
        <w:numPr>
          <w:ilvl w:val="0"/>
          <w:numId w:val="0"/>
        </w:numPr>
        <w:rPr>
          <w:u w:val="none"/>
        </w:rPr>
      </w:pPr>
      <w:bookmarkStart w:id="56" w:name="_Toc524602894"/>
      <w:r>
        <w:rPr>
          <w:u w:val="none"/>
        </w:rPr>
        <w:t>Communication interne</w:t>
      </w:r>
      <w:bookmarkEnd w:id="56"/>
    </w:p>
    <w:p w:rsidR="004D24D7" w:rsidRDefault="004D24D7" w:rsidP="004D24D7">
      <w:pPr>
        <w:pStyle w:val="Paragraphedeliste"/>
        <w:numPr>
          <w:ilvl w:val="0"/>
          <w:numId w:val="5"/>
        </w:numPr>
      </w:pPr>
      <w:r>
        <w:t>Communiquer sur la stratégie et sur les impacts attendus régulièrement</w:t>
      </w:r>
    </w:p>
    <w:p w:rsidR="004D24D7" w:rsidRDefault="004D24D7" w:rsidP="004D24D7">
      <w:pPr>
        <w:pStyle w:val="Paragraphedeliste"/>
        <w:numPr>
          <w:ilvl w:val="0"/>
          <w:numId w:val="5"/>
        </w:numPr>
      </w:pPr>
      <w:r>
        <w:t xml:space="preserve">Définir sa cible de communication et les messages à faire passer : </w:t>
      </w:r>
    </w:p>
    <w:p w:rsidR="004D24D7" w:rsidRDefault="004D24D7" w:rsidP="004D24D7">
      <w:pPr>
        <w:pStyle w:val="Paragraphedeliste"/>
        <w:numPr>
          <w:ilvl w:val="1"/>
          <w:numId w:val="5"/>
        </w:numPr>
      </w:pPr>
      <w:r>
        <w:t>Auprès des directions, des instances</w:t>
      </w:r>
    </w:p>
    <w:p w:rsidR="004D24D7" w:rsidRDefault="004D24D7" w:rsidP="004D24D7">
      <w:pPr>
        <w:pStyle w:val="Paragraphedeliste"/>
        <w:numPr>
          <w:ilvl w:val="1"/>
          <w:numId w:val="5"/>
        </w:numPr>
      </w:pPr>
      <w:r>
        <w:t>Auprès des professionnels de santé</w:t>
      </w:r>
    </w:p>
    <w:p w:rsidR="004D24D7" w:rsidRDefault="004D24D7" w:rsidP="004D24D7">
      <w:pPr>
        <w:pStyle w:val="Paragraphedeliste"/>
        <w:numPr>
          <w:ilvl w:val="1"/>
          <w:numId w:val="5"/>
        </w:numPr>
      </w:pPr>
      <w:r>
        <w:t>Auprès des patients</w:t>
      </w:r>
    </w:p>
    <w:p w:rsidR="00A250F3" w:rsidRDefault="00805992" w:rsidP="004D24D7">
      <w:pPr>
        <w:pStyle w:val="Paragraphedeliste"/>
        <w:numPr>
          <w:ilvl w:val="0"/>
          <w:numId w:val="5"/>
        </w:numPr>
      </w:pPr>
      <w:r>
        <w:t>Communiquer sur les résultats, v</w:t>
      </w:r>
      <w:r w:rsidR="00A250F3">
        <w:t>aloriser</w:t>
      </w:r>
      <w:r w:rsidR="004D24D7">
        <w:t xml:space="preserve"> les résultats des indicateurs qualitatifs et quantitatifs</w:t>
      </w:r>
    </w:p>
    <w:p w:rsidR="006A30F1" w:rsidRDefault="006A30F1" w:rsidP="001F7A2F">
      <w:pPr>
        <w:pStyle w:val="Sous-titre"/>
      </w:pPr>
      <w:r>
        <w:t>Exemples :</w:t>
      </w:r>
    </w:p>
    <w:p w:rsidR="00A250F3" w:rsidRDefault="006A30F1" w:rsidP="001F7A2F">
      <w:pPr>
        <w:pStyle w:val="Sous-titre"/>
        <w:numPr>
          <w:ilvl w:val="0"/>
          <w:numId w:val="5"/>
        </w:numPr>
      </w:pPr>
      <w:r>
        <w:t>D</w:t>
      </w:r>
      <w:r w:rsidR="004D24D7">
        <w:t xml:space="preserve">iffuser </w:t>
      </w:r>
      <w:r w:rsidR="00A250F3">
        <w:t xml:space="preserve">une enquête de satisfaction auprès des médecins, des IDE </w:t>
      </w:r>
      <w:r w:rsidR="004D24D7">
        <w:t>et en diffuser les résultats</w:t>
      </w:r>
    </w:p>
    <w:p w:rsidR="00746642" w:rsidRDefault="00BD2175" w:rsidP="001F7A2F">
      <w:pPr>
        <w:pStyle w:val="Sous-titre"/>
        <w:numPr>
          <w:ilvl w:val="0"/>
          <w:numId w:val="5"/>
        </w:numPr>
      </w:pPr>
      <w:r>
        <w:t>Valoriser les gains financiers mesurables (assurances</w:t>
      </w:r>
      <w:r w:rsidR="00746642">
        <w:t>, économies en produits de santé</w:t>
      </w:r>
      <w:r w:rsidR="004D24D7">
        <w:t>, gain de temps IDE</w:t>
      </w:r>
      <w:r>
        <w:t>…)</w:t>
      </w:r>
      <w:r w:rsidR="004D24D7">
        <w:t xml:space="preserve"> auprès de la direction</w:t>
      </w:r>
    </w:p>
    <w:p w:rsidR="004D24D7" w:rsidRDefault="004D24D7" w:rsidP="001F7A2F">
      <w:pPr>
        <w:pStyle w:val="Sous-titre"/>
        <w:numPr>
          <w:ilvl w:val="0"/>
          <w:numId w:val="5"/>
        </w:numPr>
      </w:pPr>
      <w:r>
        <w:t xml:space="preserve">Expliquer les activités de pharmacie clinique aux patients : </w:t>
      </w:r>
      <w:r w:rsidR="007963F8">
        <w:t>lettre d’information, affiches dans les salles d’attentes…</w:t>
      </w:r>
    </w:p>
    <w:p w:rsidR="00B533A4" w:rsidRDefault="00B533A4" w:rsidP="00746642">
      <w:pPr>
        <w:pStyle w:val="Style2"/>
        <w:numPr>
          <w:ilvl w:val="0"/>
          <w:numId w:val="0"/>
        </w:numPr>
        <w:rPr>
          <w:u w:val="none"/>
        </w:rPr>
      </w:pPr>
      <w:bookmarkStart w:id="57" w:name="_Toc524602895"/>
    </w:p>
    <w:p w:rsidR="00746642" w:rsidRPr="00746642" w:rsidRDefault="00E20DCE" w:rsidP="00746642">
      <w:pPr>
        <w:pStyle w:val="Style2"/>
        <w:numPr>
          <w:ilvl w:val="0"/>
          <w:numId w:val="0"/>
        </w:numPr>
        <w:rPr>
          <w:u w:val="none"/>
        </w:rPr>
      </w:pPr>
      <w:r>
        <w:rPr>
          <w:u w:val="none"/>
        </w:rPr>
        <w:t>Communication externe</w:t>
      </w:r>
      <w:bookmarkEnd w:id="57"/>
    </w:p>
    <w:p w:rsidR="00746642" w:rsidRDefault="00746642" w:rsidP="00746642">
      <w:pPr>
        <w:pStyle w:val="Paragraphedeliste"/>
        <w:numPr>
          <w:ilvl w:val="0"/>
          <w:numId w:val="5"/>
        </w:numPr>
      </w:pPr>
      <w:r>
        <w:t>Au sein d’un groupement, GHT…</w:t>
      </w:r>
    </w:p>
    <w:p w:rsidR="00746642" w:rsidRDefault="00746642" w:rsidP="00746642">
      <w:pPr>
        <w:pStyle w:val="Paragraphedeliste"/>
        <w:numPr>
          <w:ilvl w:val="0"/>
          <w:numId w:val="5"/>
        </w:numPr>
      </w:pPr>
      <w:r>
        <w:t>Au niveau régional (via l’OMEDIT notamment)</w:t>
      </w:r>
    </w:p>
    <w:p w:rsidR="004D24D7" w:rsidRDefault="00746642" w:rsidP="00746642">
      <w:pPr>
        <w:pStyle w:val="Paragraphedeliste"/>
        <w:numPr>
          <w:ilvl w:val="0"/>
          <w:numId w:val="5"/>
        </w:numPr>
      </w:pPr>
      <w:r>
        <w:t>Publier dans des congrès</w:t>
      </w:r>
      <w:r w:rsidR="004D24D7">
        <w:t xml:space="preserve"> médicaux et pharmaceutiques, dans l</w:t>
      </w:r>
      <w:r>
        <w:t>es revues sci</w:t>
      </w:r>
      <w:r w:rsidR="004D24D7">
        <w:t>entifiques et professionnelles</w:t>
      </w:r>
    </w:p>
    <w:p w:rsidR="00553C07" w:rsidRDefault="00553C07" w:rsidP="00746642">
      <w:pPr>
        <w:pStyle w:val="Paragraphedeliste"/>
        <w:numPr>
          <w:ilvl w:val="0"/>
          <w:numId w:val="5"/>
        </w:numPr>
      </w:pPr>
      <w:r>
        <w:t>…</w:t>
      </w:r>
    </w:p>
    <w:p w:rsidR="00B533A4" w:rsidRDefault="003924B6" w:rsidP="00B533A4">
      <w:pPr>
        <w:rPr>
          <w:color w:val="034EA2"/>
          <w:sz w:val="32"/>
        </w:rPr>
      </w:pPr>
      <w:r>
        <w:br w:type="page"/>
      </w:r>
      <w:bookmarkStart w:id="58" w:name="_Toc524602896"/>
      <w:bookmarkStart w:id="59" w:name="_GoBack"/>
      <w:bookmarkEnd w:id="59"/>
    </w:p>
    <w:p w:rsidR="0033307C" w:rsidRPr="006150BF" w:rsidRDefault="0033307C" w:rsidP="0033307C">
      <w:pPr>
        <w:pStyle w:val="Style1"/>
      </w:pPr>
      <w:r>
        <w:lastRenderedPageBreak/>
        <w:t>REMERCIEMENTS</w:t>
      </w:r>
      <w:bookmarkEnd w:id="58"/>
    </w:p>
    <w:p w:rsidR="0033307C" w:rsidRDefault="0033307C">
      <w:pPr>
        <w:spacing w:after="0" w:line="240" w:lineRule="auto"/>
        <w:rPr>
          <w:color w:val="034EA2"/>
        </w:rPr>
      </w:pPr>
    </w:p>
    <w:p w:rsidR="00255C2E" w:rsidRDefault="00255C2E">
      <w:pPr>
        <w:spacing w:after="0" w:line="240" w:lineRule="auto"/>
        <w:rPr>
          <w:color w:val="034EA2"/>
        </w:rPr>
      </w:pPr>
    </w:p>
    <w:p w:rsidR="00272A6B" w:rsidRPr="00932F8E" w:rsidRDefault="00255C2E" w:rsidP="001F7A2F">
      <w:pPr>
        <w:pStyle w:val="Paragraphedeliste"/>
        <w:numPr>
          <w:ilvl w:val="0"/>
          <w:numId w:val="10"/>
        </w:numPr>
        <w:spacing w:after="240" w:line="240" w:lineRule="auto"/>
        <w:ind w:left="284" w:hanging="284"/>
        <w:rPr>
          <w:b/>
          <w:color w:val="034EA2"/>
        </w:rPr>
      </w:pPr>
      <w:r w:rsidRPr="00932F8E">
        <w:rPr>
          <w:b/>
          <w:color w:val="034EA2"/>
        </w:rPr>
        <w:t>Groupe de travail </w:t>
      </w:r>
      <w:r w:rsidR="00272A6B" w:rsidRPr="00932F8E">
        <w:rPr>
          <w:b/>
          <w:color w:val="034EA2"/>
        </w:rPr>
        <w:t>régional :</w:t>
      </w:r>
    </w:p>
    <w:p w:rsidR="00255C2E" w:rsidRPr="00272A6B" w:rsidRDefault="00272A6B" w:rsidP="001F7A2F">
      <w:pPr>
        <w:spacing w:after="240" w:line="240" w:lineRule="auto"/>
        <w:ind w:left="284"/>
        <w:rPr>
          <w:color w:val="034EA2"/>
        </w:rPr>
      </w:pPr>
      <w:r w:rsidRPr="00272A6B">
        <w:rPr>
          <w:color w:val="034EA2"/>
        </w:rPr>
        <w:t>Frédérique Apolinaire (Cl</w:t>
      </w:r>
      <w:r w:rsidR="00215393">
        <w:rPr>
          <w:color w:val="034EA2"/>
        </w:rPr>
        <w:t>inique Victor Hugo/centre Jean B</w:t>
      </w:r>
      <w:r w:rsidRPr="00272A6B">
        <w:rPr>
          <w:color w:val="034EA2"/>
        </w:rPr>
        <w:t>ernard, LE MANS), Myriam BLANDIN (Hôpital Privé le Confluent, NANTES), Marie-Anne Clerc (CHU d’Angers), David Feldman (CHU de Nantes), Laurence Escofier (CH Nord-Mayenne, MAYENNE), Camille Legros (CH Saint-Nazaire), Anne Linder (CH Saint-Nazaire), Frédéric Moal (CHU d’Angers), Thomas Tiphine (CHD Vendée, LA ROCHE SUR YON), Valérie Vailland (EPSM de la Sarthe, ALLONNES)</w:t>
      </w:r>
      <w:r w:rsidR="00CC3A7A">
        <w:rPr>
          <w:color w:val="034EA2"/>
        </w:rPr>
        <w:t>.</w:t>
      </w:r>
    </w:p>
    <w:p w:rsidR="00255C2E" w:rsidRPr="00B175B5" w:rsidRDefault="00694D43" w:rsidP="001F7A2F">
      <w:pPr>
        <w:pStyle w:val="Paragraphedeliste"/>
        <w:numPr>
          <w:ilvl w:val="0"/>
          <w:numId w:val="10"/>
        </w:numPr>
        <w:spacing w:after="240" w:line="240" w:lineRule="auto"/>
        <w:ind w:left="284" w:hanging="284"/>
        <w:rPr>
          <w:color w:val="034EA2"/>
        </w:rPr>
      </w:pPr>
      <w:r>
        <w:rPr>
          <w:b/>
          <w:color w:val="034EA2"/>
        </w:rPr>
        <w:t xml:space="preserve">Dr </w:t>
      </w:r>
      <w:r w:rsidR="00255C2E" w:rsidRPr="00932F8E">
        <w:rPr>
          <w:b/>
          <w:color w:val="034EA2"/>
        </w:rPr>
        <w:t>Marie-Anne Clerc et les membres de la commission Sécurisation du Circuit du Médicament</w:t>
      </w:r>
      <w:r w:rsidR="00553C07" w:rsidRPr="00932F8E">
        <w:rPr>
          <w:b/>
          <w:color w:val="034EA2"/>
        </w:rPr>
        <w:t xml:space="preserve"> : </w:t>
      </w:r>
    </w:p>
    <w:p w:rsidR="001F7A2F" w:rsidRPr="00932F8E" w:rsidRDefault="009C04A0" w:rsidP="00CC3A7A">
      <w:pPr>
        <w:spacing w:after="240" w:line="240" w:lineRule="auto"/>
        <w:ind w:left="284"/>
        <w:rPr>
          <w:color w:val="034EA2"/>
        </w:rPr>
      </w:pPr>
      <w:r>
        <w:rPr>
          <w:color w:val="034EA2"/>
        </w:rPr>
        <w:t>Caroline Airiau (CH Cholet), Christelle Amiot (CH Maubreuil, SAINT-HERBLAIN), Jean-Pierre Aragon (CH Fontenay le Comte, LA ROCHE SUR YON), Annie Athouel (CH Le Mans), Stéphanie Barre (CH Haut Anjou, CHATEAU GONTIER), Marie-Christine Beaufils (HI Baugé, BAUGE EN ANJOU), Mélanie Boisseau (CH Haut Anjou, CHATEAU GONTIER), Marie-Anne Clerc (CHU Angers), Laurent Derenne (Clinique Jules Vernes, NANTES), Sophie Dubois (CH Saint-Nazaire), David Feldman (CHU de Nantes), Jean-Christophe Fréville (CHD Vendée, LA ROCHE SUR YON), Lobna Jemour (CH Le Mans), Cécile Loonis (CHD La Roche-sur-Yon), Muriel Menanteau (ECHO, Nantes), Véronique Pacaud (HI Pays de Retz, VILLENEUVE EN RETZ), Lydie Pecquenard (CH Le Mans), Sylvie Piessard (HL Sèvre et Loire, VERTOU), Philippe Rihet (CH Laval), Christine Sevaux (CH Blain), Jean Tourres (Polyclinique de l’Atlantique, NANTES), Raphaël Wielgo (HI Baugé,</w:t>
      </w:r>
      <w:r w:rsidRPr="00CC3A7A">
        <w:rPr>
          <w:color w:val="034EA2"/>
        </w:rPr>
        <w:t xml:space="preserve"> </w:t>
      </w:r>
      <w:r>
        <w:rPr>
          <w:color w:val="034EA2"/>
        </w:rPr>
        <w:t>BAUGE EN ANJOU).</w:t>
      </w:r>
    </w:p>
    <w:p w:rsidR="00255C2E" w:rsidRDefault="00255C2E" w:rsidP="001F7A2F">
      <w:pPr>
        <w:pStyle w:val="Paragraphedeliste"/>
        <w:numPr>
          <w:ilvl w:val="0"/>
          <w:numId w:val="10"/>
        </w:numPr>
        <w:spacing w:after="240" w:line="240" w:lineRule="auto"/>
        <w:ind w:left="284" w:hanging="284"/>
        <w:rPr>
          <w:color w:val="034EA2"/>
        </w:rPr>
      </w:pPr>
      <w:r w:rsidRPr="00932F8E">
        <w:rPr>
          <w:b/>
          <w:color w:val="034EA2"/>
        </w:rPr>
        <w:t xml:space="preserve">Centre de ressources en conciliation </w:t>
      </w:r>
      <w:r w:rsidR="00272A6B" w:rsidRPr="00932F8E">
        <w:rPr>
          <w:b/>
          <w:color w:val="034EA2"/>
        </w:rPr>
        <w:t>médicamenteuse</w:t>
      </w:r>
      <w:r w:rsidR="00553C07" w:rsidRPr="00932F8E">
        <w:rPr>
          <w:b/>
          <w:color w:val="034EA2"/>
        </w:rPr>
        <w:t> :</w:t>
      </w:r>
    </w:p>
    <w:p w:rsidR="00CC3A7A" w:rsidRPr="00CC3A7A" w:rsidRDefault="007D1383" w:rsidP="00CC3A7A">
      <w:pPr>
        <w:spacing w:after="240" w:line="240" w:lineRule="auto"/>
        <w:ind w:left="284"/>
        <w:rPr>
          <w:color w:val="034EA2"/>
        </w:rPr>
      </w:pPr>
      <w:r>
        <w:rPr>
          <w:color w:val="034EA2"/>
        </w:rPr>
        <w:t>Caroline Airia</w:t>
      </w:r>
      <w:r w:rsidR="00D05A65">
        <w:rPr>
          <w:color w:val="034EA2"/>
        </w:rPr>
        <w:t>u (CH Cholet), Sophie Armand-</w:t>
      </w:r>
      <w:r>
        <w:rPr>
          <w:color w:val="034EA2"/>
        </w:rPr>
        <w:t>Branger (CESAME, Sainte Gemme Sur Loire), Raphaële Bachtarzi (CHU de Nantes), Claire Berge Bouchara (CH Cholet), Pierre Chauvet (Clinique Jules Verne, NANTES), Valentin Contet (CH Côte de Lumière, LES SABLE</w:t>
      </w:r>
      <w:r w:rsidR="003E38B7">
        <w:rPr>
          <w:color w:val="034EA2"/>
        </w:rPr>
        <w:t>S</w:t>
      </w:r>
      <w:r>
        <w:rPr>
          <w:color w:val="034EA2"/>
        </w:rPr>
        <w:t xml:space="preserve"> D’OLONNE), Erwan Corbineau (CHU de Nantes), Sophie Dubois (CH Saint-Nazaire), Jean-Christophe </w:t>
      </w:r>
      <w:r w:rsidR="009C04A0">
        <w:rPr>
          <w:color w:val="034EA2"/>
        </w:rPr>
        <w:t>Fréville</w:t>
      </w:r>
      <w:r>
        <w:rPr>
          <w:color w:val="034EA2"/>
        </w:rPr>
        <w:t xml:space="preserve"> (CHD Vendée, LA ROCHE SUR YON), Sophie Granger (HAD Saint Sauveur, ANGERS), Mathilde Horellou (CH Loire Vendée Océan, SAINT GILLES CROIX DE VIE), Aline Lepelletier (CHU de Nantes), Julie Mocquard (CHU de Nantes), Benjamin Morlet (Hôpital Baugeois Vallée, BEAUFORT EN ANJOU), Sylvie Piessard (HL Sèvre et Loire, VERTOU), Nicolas Serandour, (CHU de Nantes), Laurence Spiesser-Robelet (CHU Angers), Stéphanie Trichet (CH Loire Vendée Océan, SAINT GILLES CROIX DE VIE).</w:t>
      </w:r>
    </w:p>
    <w:p w:rsidR="001F7A2F" w:rsidRDefault="001F7A2F" w:rsidP="00932F8E">
      <w:pPr>
        <w:spacing w:line="240" w:lineRule="auto"/>
        <w:rPr>
          <w:color w:val="034EA2"/>
        </w:rPr>
      </w:pPr>
    </w:p>
    <w:p w:rsidR="007D1383" w:rsidRDefault="007D1383" w:rsidP="00932F8E">
      <w:pPr>
        <w:spacing w:line="240" w:lineRule="auto"/>
        <w:rPr>
          <w:color w:val="034EA2"/>
        </w:rPr>
      </w:pPr>
    </w:p>
    <w:p w:rsidR="007D1383" w:rsidRDefault="007D1383" w:rsidP="00932F8E">
      <w:pPr>
        <w:spacing w:line="240" w:lineRule="auto"/>
        <w:rPr>
          <w:color w:val="034EA2"/>
        </w:rPr>
      </w:pPr>
    </w:p>
    <w:p w:rsidR="001F7A2F" w:rsidRDefault="001F7A2F" w:rsidP="00932F8E">
      <w:pPr>
        <w:spacing w:line="240" w:lineRule="auto"/>
        <w:rPr>
          <w:color w:val="034EA2"/>
        </w:rPr>
      </w:pPr>
    </w:p>
    <w:p w:rsidR="001F7A2F" w:rsidRDefault="001F7A2F" w:rsidP="00932F8E">
      <w:pPr>
        <w:spacing w:line="240" w:lineRule="auto"/>
        <w:rPr>
          <w:color w:val="034EA2"/>
        </w:rPr>
      </w:pPr>
    </w:p>
    <w:p w:rsidR="00255C2E" w:rsidRPr="00D05A65" w:rsidRDefault="00255C2E" w:rsidP="00932F8E">
      <w:pPr>
        <w:spacing w:line="240" w:lineRule="auto"/>
        <w:rPr>
          <w:b/>
          <w:color w:val="034EA2"/>
        </w:rPr>
      </w:pPr>
      <w:r w:rsidRPr="00D05A65">
        <w:rPr>
          <w:b/>
          <w:color w:val="034EA2"/>
        </w:rPr>
        <w:t>Rédaction : Fanny d’Acremont, Elise Rochais</w:t>
      </w:r>
      <w:r w:rsidR="00272A6B" w:rsidRPr="00D05A65">
        <w:rPr>
          <w:b/>
          <w:color w:val="034EA2"/>
        </w:rPr>
        <w:t xml:space="preserve"> – OMEDIT Pays de la Loire</w:t>
      </w:r>
    </w:p>
    <w:p w:rsidR="00375B32" w:rsidRPr="00D05A65" w:rsidRDefault="001F7A2F" w:rsidP="00932F8E">
      <w:pPr>
        <w:spacing w:line="240" w:lineRule="auto"/>
        <w:rPr>
          <w:b/>
          <w:color w:val="034EA2"/>
        </w:rPr>
      </w:pPr>
      <w:r w:rsidRPr="00D05A65">
        <w:rPr>
          <w:b/>
          <w:color w:val="034EA2"/>
        </w:rPr>
        <w:t>Relecture</w:t>
      </w:r>
      <w:r w:rsidR="00215393" w:rsidRPr="00D05A65">
        <w:rPr>
          <w:b/>
          <w:color w:val="034EA2"/>
        </w:rPr>
        <w:t xml:space="preserve"> : </w:t>
      </w:r>
      <w:r w:rsidR="003E38B7" w:rsidRPr="00D05A65">
        <w:rPr>
          <w:b/>
          <w:color w:val="034EA2"/>
        </w:rPr>
        <w:t xml:space="preserve">Caroline Airiau, </w:t>
      </w:r>
      <w:r w:rsidR="00375B32" w:rsidRPr="00D05A65">
        <w:rPr>
          <w:b/>
          <w:color w:val="034EA2"/>
        </w:rPr>
        <w:t xml:space="preserve">Frédérique Apolinaire, Pierre-Jean Aragon, </w:t>
      </w:r>
      <w:r w:rsidR="00F75527" w:rsidRPr="00D05A65">
        <w:rPr>
          <w:b/>
          <w:color w:val="034EA2"/>
        </w:rPr>
        <w:t xml:space="preserve">Sophie Armand-Branger, </w:t>
      </w:r>
      <w:r w:rsidR="00375B32" w:rsidRPr="00D05A65">
        <w:rPr>
          <w:b/>
          <w:color w:val="034EA2"/>
        </w:rPr>
        <w:t>Claire Berge-Bouchara, Valentin Contet,</w:t>
      </w:r>
      <w:r w:rsidR="00F75527" w:rsidRPr="00D05A65">
        <w:rPr>
          <w:b/>
          <w:color w:val="034EA2"/>
        </w:rPr>
        <w:t xml:space="preserve"> David Feldman,</w:t>
      </w:r>
      <w:r w:rsidR="00375B32" w:rsidRPr="00D05A65">
        <w:rPr>
          <w:b/>
          <w:color w:val="034EA2"/>
        </w:rPr>
        <w:t xml:space="preserve"> Amandine Lassalle, Camille Legros, Anne Linder, Jean-Claude Maupetit, Julie Mocquard, Thomas Tiphine, Valérie Vailland. </w:t>
      </w:r>
    </w:p>
    <w:p w:rsidR="00255C2E" w:rsidRPr="00D05A65" w:rsidRDefault="00255C2E" w:rsidP="00932F8E">
      <w:pPr>
        <w:spacing w:line="240" w:lineRule="auto"/>
        <w:rPr>
          <w:b/>
          <w:color w:val="034EA2"/>
        </w:rPr>
      </w:pPr>
      <w:r w:rsidRPr="00D05A65">
        <w:rPr>
          <w:b/>
          <w:color w:val="034EA2"/>
        </w:rPr>
        <w:t>Relecture ARS : David Jacq</w:t>
      </w:r>
      <w:r w:rsidR="00626A63" w:rsidRPr="00D05A65">
        <w:rPr>
          <w:b/>
          <w:color w:val="034EA2"/>
        </w:rPr>
        <w:t xml:space="preserve"> – ARS Pays de la Loire</w:t>
      </w:r>
    </w:p>
    <w:sectPr w:rsidR="00255C2E" w:rsidRPr="00D05A65">
      <w:footerReference w:type="default" r:id="rId1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6060" w:rsidRDefault="00986060" w:rsidP="002964CD">
      <w:pPr>
        <w:spacing w:after="0" w:line="240" w:lineRule="auto"/>
      </w:pPr>
      <w:r>
        <w:separator/>
      </w:r>
    </w:p>
  </w:endnote>
  <w:endnote w:type="continuationSeparator" w:id="0">
    <w:p w:rsidR="00986060" w:rsidRDefault="00986060" w:rsidP="002964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6060" w:rsidRDefault="00986060">
    <w:pPr>
      <w:pStyle w:val="Pieddepage"/>
    </w:pPr>
    <w:r>
      <w:t>Septembre  2018</w:t>
    </w:r>
    <w:r>
      <w:ptab w:relativeTo="margin" w:alignment="right" w:leader="none"/>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91487345"/>
      <w:docPartObj>
        <w:docPartGallery w:val="Page Numbers (Bottom of Page)"/>
        <w:docPartUnique/>
      </w:docPartObj>
    </w:sdtPr>
    <w:sdtContent>
      <w:p w:rsidR="00986060" w:rsidRDefault="00986060">
        <w:pPr>
          <w:pStyle w:val="Pieddepage"/>
          <w:jc w:val="right"/>
        </w:pPr>
        <w:r>
          <w:fldChar w:fldCharType="begin"/>
        </w:r>
        <w:r>
          <w:instrText>PAGE   \* MERGEFORMAT</w:instrText>
        </w:r>
        <w:r>
          <w:fldChar w:fldCharType="separate"/>
        </w:r>
        <w:r w:rsidR="009C04A0">
          <w:rPr>
            <w:noProof/>
          </w:rPr>
          <w:t>2</w:t>
        </w:r>
        <w:r>
          <w:fldChar w:fldCharType="end"/>
        </w:r>
      </w:p>
    </w:sdtContent>
  </w:sdt>
  <w:p w:rsidR="00986060" w:rsidRDefault="00986060" w:rsidP="00127E8A">
    <w:pPr>
      <w:pStyle w:val="Pieddepage"/>
      <w:jc w:val="center"/>
    </w:pPr>
    <w:r>
      <w:t>OMEDIT Pays de la Loire - septembre 2018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6060" w:rsidRDefault="00986060" w:rsidP="002964CD">
      <w:pPr>
        <w:spacing w:after="0" w:line="240" w:lineRule="auto"/>
      </w:pPr>
      <w:r>
        <w:separator/>
      </w:r>
    </w:p>
  </w:footnote>
  <w:footnote w:type="continuationSeparator" w:id="0">
    <w:p w:rsidR="00986060" w:rsidRDefault="00986060" w:rsidP="002964CD">
      <w:pPr>
        <w:spacing w:after="0" w:line="240" w:lineRule="auto"/>
      </w:pPr>
      <w:r>
        <w:continuationSeparator/>
      </w:r>
    </w:p>
  </w:footnote>
  <w:footnote w:id="1">
    <w:p w:rsidR="00986060" w:rsidRPr="00392E9E" w:rsidRDefault="00986060" w:rsidP="000D4399">
      <w:pPr>
        <w:pStyle w:val="Notedebasdepage"/>
        <w:rPr>
          <w:sz w:val="18"/>
        </w:rPr>
      </w:pPr>
      <w:r w:rsidRPr="00392E9E">
        <w:rPr>
          <w:rStyle w:val="Appelnotedebasdep"/>
          <w:sz w:val="18"/>
        </w:rPr>
        <w:footnoteRef/>
      </w:r>
      <w:r w:rsidRPr="00392E9E">
        <w:rPr>
          <w:sz w:val="18"/>
          <w:lang w:val="en-US"/>
        </w:rPr>
        <w:t xml:space="preserve"> Gleason KM, McDaniel MR, Feinglass J, Baker DW, Lindquist L, Liss D, Noskin GA. Results of the Medications at Transitions and Clinical Handoffs (MATCH) study: an analysis of medication reconciliation errors and risk factors at hospital admission. </w:t>
      </w:r>
      <w:r w:rsidRPr="00392E9E">
        <w:rPr>
          <w:sz w:val="18"/>
        </w:rPr>
        <w:t>J Gen Intern Med 2010; 25 : 441–7</w:t>
      </w:r>
    </w:p>
  </w:footnote>
  <w:footnote w:id="2">
    <w:p w:rsidR="00986060" w:rsidRPr="00392E9E" w:rsidRDefault="00986060">
      <w:pPr>
        <w:pStyle w:val="Notedebasdepage"/>
        <w:rPr>
          <w:sz w:val="18"/>
          <w:lang w:val="en-US"/>
        </w:rPr>
      </w:pPr>
      <w:r w:rsidRPr="00392E9E">
        <w:rPr>
          <w:rStyle w:val="Appelnotedebasdep"/>
          <w:sz w:val="18"/>
        </w:rPr>
        <w:footnoteRef/>
      </w:r>
      <w:r w:rsidRPr="00392E9E">
        <w:rPr>
          <w:sz w:val="18"/>
          <w:lang w:val="en-US"/>
        </w:rPr>
        <w:t xml:space="preserve"> Delgado Sánchez O, Nicolás Picó J, Martínez López I, Serrano Fabiá A, Anoz Jiménez L, Fernández Cortés F. Reconciliation errors at admission and departure in old and polymedicated patients. Prospective, multicenter randomized study. Med Clin 2009 ; 133 : 741–4.</w:t>
      </w:r>
    </w:p>
  </w:footnote>
  <w:footnote w:id="3">
    <w:p w:rsidR="00986060" w:rsidRPr="00626A63" w:rsidRDefault="00986060">
      <w:pPr>
        <w:pStyle w:val="Notedebasdepage"/>
        <w:rPr>
          <w:sz w:val="18"/>
        </w:rPr>
      </w:pPr>
      <w:r w:rsidRPr="00392E9E">
        <w:rPr>
          <w:rStyle w:val="Appelnotedebasdep"/>
          <w:sz w:val="18"/>
        </w:rPr>
        <w:footnoteRef/>
      </w:r>
      <w:r w:rsidRPr="00392E9E">
        <w:rPr>
          <w:sz w:val="18"/>
          <w:lang w:val="en-US"/>
        </w:rPr>
        <w:t xml:space="preserve"> Rumball A., Smith J. and P. Hider (2009).The validity of readmission rate as a marker of the quality of hospital care, and a recommendation for its definition. </w:t>
      </w:r>
      <w:r w:rsidRPr="00626A63">
        <w:rPr>
          <w:sz w:val="18"/>
        </w:rPr>
        <w:t>New Zealand Medical Journal 122(1289): 63A70.</w:t>
      </w:r>
    </w:p>
  </w:footnote>
  <w:footnote w:id="4">
    <w:p w:rsidR="00986060" w:rsidRPr="00626A63" w:rsidRDefault="00986060" w:rsidP="0065734E">
      <w:pPr>
        <w:pStyle w:val="Notedebasdepage"/>
        <w:rPr>
          <w:sz w:val="18"/>
        </w:rPr>
      </w:pPr>
      <w:r w:rsidRPr="00392E9E">
        <w:rPr>
          <w:rStyle w:val="Appelnotedebasdep"/>
          <w:sz w:val="18"/>
        </w:rPr>
        <w:footnoteRef/>
      </w:r>
      <w:r w:rsidRPr="00626A63">
        <w:rPr>
          <w:sz w:val="18"/>
        </w:rPr>
        <w:t xml:space="preserve"> Blanchet M. Évaluation de l’impact clinique de la réalisation d’un bilan comparatif des médicaments au</w:t>
      </w:r>
    </w:p>
    <w:p w:rsidR="00986060" w:rsidRDefault="00986060" w:rsidP="003924B6">
      <w:pPr>
        <w:pStyle w:val="Notedebasdepage"/>
      </w:pPr>
      <w:r w:rsidRPr="00B31D1E">
        <w:rPr>
          <w:sz w:val="18"/>
        </w:rPr>
        <w:t>Centre hospitalier aff</w:t>
      </w:r>
      <w:r w:rsidRPr="00392E9E">
        <w:rPr>
          <w:sz w:val="18"/>
        </w:rPr>
        <w:t>ilié universitaire de Québec. Pharmactuel [Internet]. 2010 [consulté 24 août 2018];43(3). http://www.pharmactuel.com/index.php/pharmactuel/article/view/772</w:t>
      </w:r>
      <w:r w:rsidRPr="00392E9E">
        <w:rPr>
          <w:sz w:val="18"/>
        </w:rPr>
        <w:c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6060" w:rsidRDefault="00986060">
    <w:pPr>
      <w:pStyle w:val="En-tte"/>
    </w:pPr>
  </w:p>
  <w:p w:rsidR="00986060" w:rsidRDefault="00986060">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D2C40"/>
    <w:multiLevelType w:val="hybridMultilevel"/>
    <w:tmpl w:val="892C0312"/>
    <w:lvl w:ilvl="0" w:tplc="9086F096">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835628F"/>
    <w:multiLevelType w:val="hybridMultilevel"/>
    <w:tmpl w:val="1C4E4DC0"/>
    <w:lvl w:ilvl="0" w:tplc="9086F096">
      <w:numFmt w:val="bullet"/>
      <w:lvlText w:val="-"/>
      <w:lvlJc w:val="left"/>
      <w:pPr>
        <w:ind w:left="720" w:hanging="360"/>
      </w:pPr>
      <w:rPr>
        <w:rFonts w:ascii="Calibri" w:eastAsia="Calibri" w:hAnsi="Calibri"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26A70CD3"/>
    <w:multiLevelType w:val="hybridMultilevel"/>
    <w:tmpl w:val="6144C15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2DC356AE"/>
    <w:multiLevelType w:val="hybridMultilevel"/>
    <w:tmpl w:val="4DF2CB1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428A6B4E"/>
    <w:multiLevelType w:val="hybridMultilevel"/>
    <w:tmpl w:val="D43ED4FA"/>
    <w:lvl w:ilvl="0" w:tplc="9086F096">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44D14C8E"/>
    <w:multiLevelType w:val="hybridMultilevel"/>
    <w:tmpl w:val="338C131C"/>
    <w:lvl w:ilvl="0" w:tplc="84D0A028">
      <w:start w:val="1"/>
      <w:numFmt w:val="bullet"/>
      <w:lvlText w:val="•"/>
      <w:lvlJc w:val="left"/>
      <w:pPr>
        <w:tabs>
          <w:tab w:val="num" w:pos="720"/>
        </w:tabs>
        <w:ind w:left="720" w:hanging="360"/>
      </w:pPr>
      <w:rPr>
        <w:rFonts w:ascii="Arial" w:hAnsi="Arial" w:hint="default"/>
      </w:rPr>
    </w:lvl>
    <w:lvl w:ilvl="1" w:tplc="A66CF8F4">
      <w:start w:val="1684"/>
      <w:numFmt w:val="bullet"/>
      <w:lvlText w:val=""/>
      <w:lvlJc w:val="left"/>
      <w:pPr>
        <w:tabs>
          <w:tab w:val="num" w:pos="1440"/>
        </w:tabs>
        <w:ind w:left="1440" w:hanging="360"/>
      </w:pPr>
      <w:rPr>
        <w:rFonts w:ascii="Wingdings" w:hAnsi="Wingdings" w:hint="default"/>
      </w:rPr>
    </w:lvl>
    <w:lvl w:ilvl="2" w:tplc="63366E0A">
      <w:start w:val="1684"/>
      <w:numFmt w:val="bullet"/>
      <w:lvlText w:val="‐"/>
      <w:lvlJc w:val="left"/>
      <w:pPr>
        <w:tabs>
          <w:tab w:val="num" w:pos="2160"/>
        </w:tabs>
        <w:ind w:left="2160" w:hanging="360"/>
      </w:pPr>
      <w:rPr>
        <w:rFonts w:ascii="Calibri" w:hAnsi="Calibri" w:hint="default"/>
      </w:rPr>
    </w:lvl>
    <w:lvl w:ilvl="3" w:tplc="D85AB668" w:tentative="1">
      <w:start w:val="1"/>
      <w:numFmt w:val="bullet"/>
      <w:lvlText w:val="•"/>
      <w:lvlJc w:val="left"/>
      <w:pPr>
        <w:tabs>
          <w:tab w:val="num" w:pos="2880"/>
        </w:tabs>
        <w:ind w:left="2880" w:hanging="360"/>
      </w:pPr>
      <w:rPr>
        <w:rFonts w:ascii="Arial" w:hAnsi="Arial" w:hint="default"/>
      </w:rPr>
    </w:lvl>
    <w:lvl w:ilvl="4" w:tplc="31D87186" w:tentative="1">
      <w:start w:val="1"/>
      <w:numFmt w:val="bullet"/>
      <w:lvlText w:val="•"/>
      <w:lvlJc w:val="left"/>
      <w:pPr>
        <w:tabs>
          <w:tab w:val="num" w:pos="3600"/>
        </w:tabs>
        <w:ind w:left="3600" w:hanging="360"/>
      </w:pPr>
      <w:rPr>
        <w:rFonts w:ascii="Arial" w:hAnsi="Arial" w:hint="default"/>
      </w:rPr>
    </w:lvl>
    <w:lvl w:ilvl="5" w:tplc="C030A6A0" w:tentative="1">
      <w:start w:val="1"/>
      <w:numFmt w:val="bullet"/>
      <w:lvlText w:val="•"/>
      <w:lvlJc w:val="left"/>
      <w:pPr>
        <w:tabs>
          <w:tab w:val="num" w:pos="4320"/>
        </w:tabs>
        <w:ind w:left="4320" w:hanging="360"/>
      </w:pPr>
      <w:rPr>
        <w:rFonts w:ascii="Arial" w:hAnsi="Arial" w:hint="default"/>
      </w:rPr>
    </w:lvl>
    <w:lvl w:ilvl="6" w:tplc="F5520A70" w:tentative="1">
      <w:start w:val="1"/>
      <w:numFmt w:val="bullet"/>
      <w:lvlText w:val="•"/>
      <w:lvlJc w:val="left"/>
      <w:pPr>
        <w:tabs>
          <w:tab w:val="num" w:pos="5040"/>
        </w:tabs>
        <w:ind w:left="5040" w:hanging="360"/>
      </w:pPr>
      <w:rPr>
        <w:rFonts w:ascii="Arial" w:hAnsi="Arial" w:hint="default"/>
      </w:rPr>
    </w:lvl>
    <w:lvl w:ilvl="7" w:tplc="AFD4C9A4" w:tentative="1">
      <w:start w:val="1"/>
      <w:numFmt w:val="bullet"/>
      <w:lvlText w:val="•"/>
      <w:lvlJc w:val="left"/>
      <w:pPr>
        <w:tabs>
          <w:tab w:val="num" w:pos="5760"/>
        </w:tabs>
        <w:ind w:left="5760" w:hanging="360"/>
      </w:pPr>
      <w:rPr>
        <w:rFonts w:ascii="Arial" w:hAnsi="Arial" w:hint="default"/>
      </w:rPr>
    </w:lvl>
    <w:lvl w:ilvl="8" w:tplc="2D428668" w:tentative="1">
      <w:start w:val="1"/>
      <w:numFmt w:val="bullet"/>
      <w:lvlText w:val="•"/>
      <w:lvlJc w:val="left"/>
      <w:pPr>
        <w:tabs>
          <w:tab w:val="num" w:pos="6480"/>
        </w:tabs>
        <w:ind w:left="6480" w:hanging="360"/>
      </w:pPr>
      <w:rPr>
        <w:rFonts w:ascii="Arial" w:hAnsi="Arial" w:hint="default"/>
      </w:rPr>
    </w:lvl>
  </w:abstractNum>
  <w:abstractNum w:abstractNumId="6">
    <w:nsid w:val="4A933164"/>
    <w:multiLevelType w:val="hybridMultilevel"/>
    <w:tmpl w:val="F6E6998E"/>
    <w:lvl w:ilvl="0" w:tplc="5AFCDA54">
      <w:start w:val="1"/>
      <w:numFmt w:val="bullet"/>
      <w:lvlText w:val="•"/>
      <w:lvlJc w:val="left"/>
      <w:pPr>
        <w:tabs>
          <w:tab w:val="num" w:pos="720"/>
        </w:tabs>
        <w:ind w:left="720" w:hanging="360"/>
      </w:pPr>
      <w:rPr>
        <w:rFonts w:ascii="Arial" w:hAnsi="Arial" w:hint="default"/>
      </w:rPr>
    </w:lvl>
    <w:lvl w:ilvl="1" w:tplc="5AD41408">
      <w:start w:val="1980"/>
      <w:numFmt w:val="bullet"/>
      <w:lvlText w:val=""/>
      <w:lvlJc w:val="left"/>
      <w:pPr>
        <w:tabs>
          <w:tab w:val="num" w:pos="1440"/>
        </w:tabs>
        <w:ind w:left="1440" w:hanging="360"/>
      </w:pPr>
      <w:rPr>
        <w:rFonts w:ascii="Wingdings" w:hAnsi="Wingdings" w:hint="default"/>
      </w:rPr>
    </w:lvl>
    <w:lvl w:ilvl="2" w:tplc="B69E56AE">
      <w:start w:val="1980"/>
      <w:numFmt w:val="bullet"/>
      <w:lvlText w:val="‐"/>
      <w:lvlJc w:val="left"/>
      <w:pPr>
        <w:tabs>
          <w:tab w:val="num" w:pos="2160"/>
        </w:tabs>
        <w:ind w:left="2160" w:hanging="360"/>
      </w:pPr>
      <w:rPr>
        <w:rFonts w:ascii="Calibri" w:hAnsi="Calibri" w:hint="default"/>
      </w:rPr>
    </w:lvl>
    <w:lvl w:ilvl="3" w:tplc="B524AD1C" w:tentative="1">
      <w:start w:val="1"/>
      <w:numFmt w:val="bullet"/>
      <w:lvlText w:val="•"/>
      <w:lvlJc w:val="left"/>
      <w:pPr>
        <w:tabs>
          <w:tab w:val="num" w:pos="2880"/>
        </w:tabs>
        <w:ind w:left="2880" w:hanging="360"/>
      </w:pPr>
      <w:rPr>
        <w:rFonts w:ascii="Arial" w:hAnsi="Arial" w:hint="default"/>
      </w:rPr>
    </w:lvl>
    <w:lvl w:ilvl="4" w:tplc="792E37AE" w:tentative="1">
      <w:start w:val="1"/>
      <w:numFmt w:val="bullet"/>
      <w:lvlText w:val="•"/>
      <w:lvlJc w:val="left"/>
      <w:pPr>
        <w:tabs>
          <w:tab w:val="num" w:pos="3600"/>
        </w:tabs>
        <w:ind w:left="3600" w:hanging="360"/>
      </w:pPr>
      <w:rPr>
        <w:rFonts w:ascii="Arial" w:hAnsi="Arial" w:hint="default"/>
      </w:rPr>
    </w:lvl>
    <w:lvl w:ilvl="5" w:tplc="86F01D42" w:tentative="1">
      <w:start w:val="1"/>
      <w:numFmt w:val="bullet"/>
      <w:lvlText w:val="•"/>
      <w:lvlJc w:val="left"/>
      <w:pPr>
        <w:tabs>
          <w:tab w:val="num" w:pos="4320"/>
        </w:tabs>
        <w:ind w:left="4320" w:hanging="360"/>
      </w:pPr>
      <w:rPr>
        <w:rFonts w:ascii="Arial" w:hAnsi="Arial" w:hint="default"/>
      </w:rPr>
    </w:lvl>
    <w:lvl w:ilvl="6" w:tplc="ED28DEC4" w:tentative="1">
      <w:start w:val="1"/>
      <w:numFmt w:val="bullet"/>
      <w:lvlText w:val="•"/>
      <w:lvlJc w:val="left"/>
      <w:pPr>
        <w:tabs>
          <w:tab w:val="num" w:pos="5040"/>
        </w:tabs>
        <w:ind w:left="5040" w:hanging="360"/>
      </w:pPr>
      <w:rPr>
        <w:rFonts w:ascii="Arial" w:hAnsi="Arial" w:hint="default"/>
      </w:rPr>
    </w:lvl>
    <w:lvl w:ilvl="7" w:tplc="A1BE9EB6" w:tentative="1">
      <w:start w:val="1"/>
      <w:numFmt w:val="bullet"/>
      <w:lvlText w:val="•"/>
      <w:lvlJc w:val="left"/>
      <w:pPr>
        <w:tabs>
          <w:tab w:val="num" w:pos="5760"/>
        </w:tabs>
        <w:ind w:left="5760" w:hanging="360"/>
      </w:pPr>
      <w:rPr>
        <w:rFonts w:ascii="Arial" w:hAnsi="Arial" w:hint="default"/>
      </w:rPr>
    </w:lvl>
    <w:lvl w:ilvl="8" w:tplc="44C84086" w:tentative="1">
      <w:start w:val="1"/>
      <w:numFmt w:val="bullet"/>
      <w:lvlText w:val="•"/>
      <w:lvlJc w:val="left"/>
      <w:pPr>
        <w:tabs>
          <w:tab w:val="num" w:pos="6480"/>
        </w:tabs>
        <w:ind w:left="6480" w:hanging="360"/>
      </w:pPr>
      <w:rPr>
        <w:rFonts w:ascii="Arial" w:hAnsi="Arial" w:hint="default"/>
      </w:rPr>
    </w:lvl>
  </w:abstractNum>
  <w:abstractNum w:abstractNumId="7">
    <w:nsid w:val="577E4925"/>
    <w:multiLevelType w:val="hybridMultilevel"/>
    <w:tmpl w:val="880481D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5D666874"/>
    <w:multiLevelType w:val="multilevel"/>
    <w:tmpl w:val="F24CC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65DA238D"/>
    <w:multiLevelType w:val="hybridMultilevel"/>
    <w:tmpl w:val="221A8690"/>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7A352057"/>
    <w:multiLevelType w:val="hybridMultilevel"/>
    <w:tmpl w:val="DC1E17E0"/>
    <w:lvl w:ilvl="0" w:tplc="9086F096">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7C1F7390"/>
    <w:multiLevelType w:val="hybridMultilevel"/>
    <w:tmpl w:val="3B2A086A"/>
    <w:lvl w:ilvl="0" w:tplc="17BE1D86">
      <w:start w:val="1"/>
      <w:numFmt w:val="decimal"/>
      <w:pStyle w:val="Style2"/>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7FDC7C35"/>
    <w:multiLevelType w:val="hybridMultilevel"/>
    <w:tmpl w:val="B28071FA"/>
    <w:lvl w:ilvl="0" w:tplc="DEB42BCC">
      <w:start w:val="1"/>
      <w:numFmt w:val="bullet"/>
      <w:lvlText w:val="•"/>
      <w:lvlJc w:val="left"/>
      <w:pPr>
        <w:tabs>
          <w:tab w:val="num" w:pos="720"/>
        </w:tabs>
        <w:ind w:left="720" w:hanging="360"/>
      </w:pPr>
      <w:rPr>
        <w:rFonts w:ascii="Arial" w:hAnsi="Arial" w:hint="default"/>
      </w:rPr>
    </w:lvl>
    <w:lvl w:ilvl="1" w:tplc="7F06795E">
      <w:start w:val="857"/>
      <w:numFmt w:val="bullet"/>
      <w:lvlText w:val="–"/>
      <w:lvlJc w:val="left"/>
      <w:pPr>
        <w:tabs>
          <w:tab w:val="num" w:pos="1440"/>
        </w:tabs>
        <w:ind w:left="1440" w:hanging="360"/>
      </w:pPr>
      <w:rPr>
        <w:rFonts w:ascii="Arial" w:hAnsi="Arial" w:hint="default"/>
      </w:rPr>
    </w:lvl>
    <w:lvl w:ilvl="2" w:tplc="78AAB852" w:tentative="1">
      <w:start w:val="1"/>
      <w:numFmt w:val="bullet"/>
      <w:lvlText w:val="•"/>
      <w:lvlJc w:val="left"/>
      <w:pPr>
        <w:tabs>
          <w:tab w:val="num" w:pos="2160"/>
        </w:tabs>
        <w:ind w:left="2160" w:hanging="360"/>
      </w:pPr>
      <w:rPr>
        <w:rFonts w:ascii="Arial" w:hAnsi="Arial" w:hint="default"/>
      </w:rPr>
    </w:lvl>
    <w:lvl w:ilvl="3" w:tplc="D27C9D80" w:tentative="1">
      <w:start w:val="1"/>
      <w:numFmt w:val="bullet"/>
      <w:lvlText w:val="•"/>
      <w:lvlJc w:val="left"/>
      <w:pPr>
        <w:tabs>
          <w:tab w:val="num" w:pos="2880"/>
        </w:tabs>
        <w:ind w:left="2880" w:hanging="360"/>
      </w:pPr>
      <w:rPr>
        <w:rFonts w:ascii="Arial" w:hAnsi="Arial" w:hint="default"/>
      </w:rPr>
    </w:lvl>
    <w:lvl w:ilvl="4" w:tplc="B88C7C76" w:tentative="1">
      <w:start w:val="1"/>
      <w:numFmt w:val="bullet"/>
      <w:lvlText w:val="•"/>
      <w:lvlJc w:val="left"/>
      <w:pPr>
        <w:tabs>
          <w:tab w:val="num" w:pos="3600"/>
        </w:tabs>
        <w:ind w:left="3600" w:hanging="360"/>
      </w:pPr>
      <w:rPr>
        <w:rFonts w:ascii="Arial" w:hAnsi="Arial" w:hint="default"/>
      </w:rPr>
    </w:lvl>
    <w:lvl w:ilvl="5" w:tplc="40DEFA16" w:tentative="1">
      <w:start w:val="1"/>
      <w:numFmt w:val="bullet"/>
      <w:lvlText w:val="•"/>
      <w:lvlJc w:val="left"/>
      <w:pPr>
        <w:tabs>
          <w:tab w:val="num" w:pos="4320"/>
        </w:tabs>
        <w:ind w:left="4320" w:hanging="360"/>
      </w:pPr>
      <w:rPr>
        <w:rFonts w:ascii="Arial" w:hAnsi="Arial" w:hint="default"/>
      </w:rPr>
    </w:lvl>
    <w:lvl w:ilvl="6" w:tplc="D5465C7A" w:tentative="1">
      <w:start w:val="1"/>
      <w:numFmt w:val="bullet"/>
      <w:lvlText w:val="•"/>
      <w:lvlJc w:val="left"/>
      <w:pPr>
        <w:tabs>
          <w:tab w:val="num" w:pos="5040"/>
        </w:tabs>
        <w:ind w:left="5040" w:hanging="360"/>
      </w:pPr>
      <w:rPr>
        <w:rFonts w:ascii="Arial" w:hAnsi="Arial" w:hint="default"/>
      </w:rPr>
    </w:lvl>
    <w:lvl w:ilvl="7" w:tplc="1D3838DE" w:tentative="1">
      <w:start w:val="1"/>
      <w:numFmt w:val="bullet"/>
      <w:lvlText w:val="•"/>
      <w:lvlJc w:val="left"/>
      <w:pPr>
        <w:tabs>
          <w:tab w:val="num" w:pos="5760"/>
        </w:tabs>
        <w:ind w:left="5760" w:hanging="360"/>
      </w:pPr>
      <w:rPr>
        <w:rFonts w:ascii="Arial" w:hAnsi="Arial" w:hint="default"/>
      </w:rPr>
    </w:lvl>
    <w:lvl w:ilvl="8" w:tplc="12C20BA4" w:tentative="1">
      <w:start w:val="1"/>
      <w:numFmt w:val="bullet"/>
      <w:lvlText w:val="•"/>
      <w:lvlJc w:val="left"/>
      <w:pPr>
        <w:tabs>
          <w:tab w:val="num" w:pos="6480"/>
        </w:tabs>
        <w:ind w:left="6480" w:hanging="360"/>
      </w:pPr>
      <w:rPr>
        <w:rFonts w:ascii="Arial" w:hAnsi="Arial" w:hint="default"/>
      </w:rPr>
    </w:lvl>
  </w:abstractNum>
  <w:num w:numId="1">
    <w:abstractNumId w:val="11"/>
  </w:num>
  <w:num w:numId="2">
    <w:abstractNumId w:val="11"/>
    <w:lvlOverride w:ilvl="0">
      <w:startOverride w:val="1"/>
    </w:lvlOverride>
  </w:num>
  <w:num w:numId="3">
    <w:abstractNumId w:val="11"/>
    <w:lvlOverride w:ilvl="0">
      <w:startOverride w:val="1"/>
    </w:lvlOverride>
  </w:num>
  <w:num w:numId="4">
    <w:abstractNumId w:val="12"/>
  </w:num>
  <w:num w:numId="5">
    <w:abstractNumId w:val="1"/>
  </w:num>
  <w:num w:numId="6">
    <w:abstractNumId w:val="3"/>
  </w:num>
  <w:num w:numId="7">
    <w:abstractNumId w:val="11"/>
    <w:lvlOverride w:ilvl="0">
      <w:startOverride w:val="1"/>
    </w:lvlOverride>
  </w:num>
  <w:num w:numId="8">
    <w:abstractNumId w:val="5"/>
  </w:num>
  <w:num w:numId="9">
    <w:abstractNumId w:val="6"/>
  </w:num>
  <w:num w:numId="10">
    <w:abstractNumId w:val="10"/>
  </w:num>
  <w:num w:numId="11">
    <w:abstractNumId w:val="11"/>
    <w:lvlOverride w:ilvl="0">
      <w:startOverride w:val="1"/>
    </w:lvlOverride>
  </w:num>
  <w:num w:numId="12">
    <w:abstractNumId w:val="7"/>
  </w:num>
  <w:num w:numId="13">
    <w:abstractNumId w:val="4"/>
  </w:num>
  <w:num w:numId="14">
    <w:abstractNumId w:val="11"/>
  </w:num>
  <w:num w:numId="15">
    <w:abstractNumId w:val="11"/>
  </w:num>
  <w:num w:numId="16">
    <w:abstractNumId w:val="11"/>
  </w:num>
  <w:num w:numId="17">
    <w:abstractNumId w:val="2"/>
  </w:num>
  <w:num w:numId="18">
    <w:abstractNumId w:val="9"/>
  </w:num>
  <w:num w:numId="19">
    <w:abstractNumId w:val="8"/>
  </w:num>
  <w:num w:numId="20">
    <w:abstractNumId w:val="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35D3"/>
    <w:rsid w:val="0002269D"/>
    <w:rsid w:val="00037A56"/>
    <w:rsid w:val="00042A85"/>
    <w:rsid w:val="00057586"/>
    <w:rsid w:val="00086F85"/>
    <w:rsid w:val="00091CBA"/>
    <w:rsid w:val="000C158C"/>
    <w:rsid w:val="000D4399"/>
    <w:rsid w:val="000F2130"/>
    <w:rsid w:val="000F5B9F"/>
    <w:rsid w:val="00111F1D"/>
    <w:rsid w:val="00116F6D"/>
    <w:rsid w:val="00127E8A"/>
    <w:rsid w:val="00166840"/>
    <w:rsid w:val="001A719D"/>
    <w:rsid w:val="001D1AC7"/>
    <w:rsid w:val="001D2D36"/>
    <w:rsid w:val="001E5C4F"/>
    <w:rsid w:val="001F7A2F"/>
    <w:rsid w:val="00214B4A"/>
    <w:rsid w:val="00215393"/>
    <w:rsid w:val="00222CF9"/>
    <w:rsid w:val="00226973"/>
    <w:rsid w:val="00246350"/>
    <w:rsid w:val="00255C2E"/>
    <w:rsid w:val="00257F4B"/>
    <w:rsid w:val="002639D4"/>
    <w:rsid w:val="00272A6B"/>
    <w:rsid w:val="00284E7A"/>
    <w:rsid w:val="002964CD"/>
    <w:rsid w:val="002A79D4"/>
    <w:rsid w:val="00300B58"/>
    <w:rsid w:val="0030365D"/>
    <w:rsid w:val="00332F7F"/>
    <w:rsid w:val="0033307C"/>
    <w:rsid w:val="003509F3"/>
    <w:rsid w:val="00375B32"/>
    <w:rsid w:val="003768DC"/>
    <w:rsid w:val="003924B6"/>
    <w:rsid w:val="00392E9E"/>
    <w:rsid w:val="003B1972"/>
    <w:rsid w:val="003D5A36"/>
    <w:rsid w:val="003E38B7"/>
    <w:rsid w:val="004445BB"/>
    <w:rsid w:val="00466B37"/>
    <w:rsid w:val="004907A0"/>
    <w:rsid w:val="004B4781"/>
    <w:rsid w:val="004B7814"/>
    <w:rsid w:val="004C65CF"/>
    <w:rsid w:val="004D24D7"/>
    <w:rsid w:val="004D7AFD"/>
    <w:rsid w:val="004F0C36"/>
    <w:rsid w:val="00513DEC"/>
    <w:rsid w:val="00537C2F"/>
    <w:rsid w:val="00551849"/>
    <w:rsid w:val="00553C07"/>
    <w:rsid w:val="0058184B"/>
    <w:rsid w:val="00596547"/>
    <w:rsid w:val="005A7044"/>
    <w:rsid w:val="005F2452"/>
    <w:rsid w:val="006150BF"/>
    <w:rsid w:val="00626A63"/>
    <w:rsid w:val="00634BD2"/>
    <w:rsid w:val="0065734E"/>
    <w:rsid w:val="0067778C"/>
    <w:rsid w:val="00694D43"/>
    <w:rsid w:val="006A2F50"/>
    <w:rsid w:val="006A30F1"/>
    <w:rsid w:val="006A57CE"/>
    <w:rsid w:val="006B1FAB"/>
    <w:rsid w:val="006B4E6F"/>
    <w:rsid w:val="006D2CD1"/>
    <w:rsid w:val="00701A0A"/>
    <w:rsid w:val="007067C4"/>
    <w:rsid w:val="007076A6"/>
    <w:rsid w:val="00746642"/>
    <w:rsid w:val="007515DD"/>
    <w:rsid w:val="00774194"/>
    <w:rsid w:val="007963F8"/>
    <w:rsid w:val="007A5BB1"/>
    <w:rsid w:val="007B215F"/>
    <w:rsid w:val="007B3CD2"/>
    <w:rsid w:val="007D1383"/>
    <w:rsid w:val="00805992"/>
    <w:rsid w:val="00812B6A"/>
    <w:rsid w:val="0081540E"/>
    <w:rsid w:val="00835E1A"/>
    <w:rsid w:val="00860A22"/>
    <w:rsid w:val="008611B6"/>
    <w:rsid w:val="00877367"/>
    <w:rsid w:val="008858C1"/>
    <w:rsid w:val="008D6E92"/>
    <w:rsid w:val="00917A50"/>
    <w:rsid w:val="00932A64"/>
    <w:rsid w:val="00932F8E"/>
    <w:rsid w:val="009345CB"/>
    <w:rsid w:val="009412E3"/>
    <w:rsid w:val="00953D42"/>
    <w:rsid w:val="009762EB"/>
    <w:rsid w:val="00986060"/>
    <w:rsid w:val="00990C00"/>
    <w:rsid w:val="009B5692"/>
    <w:rsid w:val="009C04A0"/>
    <w:rsid w:val="009C1D0F"/>
    <w:rsid w:val="009C6CE6"/>
    <w:rsid w:val="009D0BFB"/>
    <w:rsid w:val="009D259D"/>
    <w:rsid w:val="009D5C70"/>
    <w:rsid w:val="00A250F3"/>
    <w:rsid w:val="00A43B81"/>
    <w:rsid w:val="00A66B76"/>
    <w:rsid w:val="00AB6BE2"/>
    <w:rsid w:val="00AD7E13"/>
    <w:rsid w:val="00B024AB"/>
    <w:rsid w:val="00B109EE"/>
    <w:rsid w:val="00B175B5"/>
    <w:rsid w:val="00B30939"/>
    <w:rsid w:val="00B31D1E"/>
    <w:rsid w:val="00B533A4"/>
    <w:rsid w:val="00B55ED6"/>
    <w:rsid w:val="00B626AA"/>
    <w:rsid w:val="00B9669C"/>
    <w:rsid w:val="00BB10C6"/>
    <w:rsid w:val="00BD0A1B"/>
    <w:rsid w:val="00BD2175"/>
    <w:rsid w:val="00C27E60"/>
    <w:rsid w:val="00C60262"/>
    <w:rsid w:val="00C673E2"/>
    <w:rsid w:val="00C859A5"/>
    <w:rsid w:val="00C926D2"/>
    <w:rsid w:val="00C92717"/>
    <w:rsid w:val="00C95F83"/>
    <w:rsid w:val="00CC3A7A"/>
    <w:rsid w:val="00CE29E1"/>
    <w:rsid w:val="00CE35D3"/>
    <w:rsid w:val="00D03C87"/>
    <w:rsid w:val="00D04497"/>
    <w:rsid w:val="00D05A65"/>
    <w:rsid w:val="00D211AC"/>
    <w:rsid w:val="00D2700E"/>
    <w:rsid w:val="00D36F4B"/>
    <w:rsid w:val="00D41BA4"/>
    <w:rsid w:val="00D7492D"/>
    <w:rsid w:val="00D90A17"/>
    <w:rsid w:val="00D92F10"/>
    <w:rsid w:val="00DA687E"/>
    <w:rsid w:val="00DD13CB"/>
    <w:rsid w:val="00DD68D0"/>
    <w:rsid w:val="00DD6CE0"/>
    <w:rsid w:val="00DE0304"/>
    <w:rsid w:val="00DF41FB"/>
    <w:rsid w:val="00E005F8"/>
    <w:rsid w:val="00E076A9"/>
    <w:rsid w:val="00E20DCE"/>
    <w:rsid w:val="00E74FA1"/>
    <w:rsid w:val="00EB2C41"/>
    <w:rsid w:val="00EE0C75"/>
    <w:rsid w:val="00F347A6"/>
    <w:rsid w:val="00F3602D"/>
    <w:rsid w:val="00F5000C"/>
    <w:rsid w:val="00F507A1"/>
    <w:rsid w:val="00F75527"/>
    <w:rsid w:val="00F93ED2"/>
    <w:rsid w:val="00F970D2"/>
    <w:rsid w:val="00FA62B0"/>
    <w:rsid w:val="00FB0442"/>
    <w:rsid w:val="00FB5C16"/>
    <w:rsid w:val="00FC250F"/>
    <w:rsid w:val="00FC626A"/>
    <w:rsid w:val="00FC6B1B"/>
    <w:rsid w:val="00FE4C7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5B9F"/>
    <w:pPr>
      <w:spacing w:after="120" w:line="276" w:lineRule="auto"/>
      <w:jc w:val="both"/>
    </w:pPr>
    <w:rPr>
      <w:sz w:val="22"/>
      <w:szCs w:val="22"/>
      <w:lang w:eastAsia="en-US"/>
    </w:rPr>
  </w:style>
  <w:style w:type="paragraph" w:styleId="Titre1">
    <w:name w:val="heading 1"/>
    <w:basedOn w:val="Normal"/>
    <w:next w:val="Normal"/>
    <w:link w:val="Titre1Car"/>
    <w:uiPriority w:val="9"/>
    <w:qFormat/>
    <w:rsid w:val="00127E8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semiHidden/>
    <w:unhideWhenUsed/>
    <w:qFormat/>
    <w:rsid w:val="00917A5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semiHidden/>
    <w:unhideWhenUsed/>
    <w:qFormat/>
    <w:rsid w:val="00917A50"/>
    <w:pPr>
      <w:keepNext/>
      <w:keepLines/>
      <w:spacing w:before="200" w:after="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2964CD"/>
    <w:pPr>
      <w:tabs>
        <w:tab w:val="center" w:pos="4536"/>
        <w:tab w:val="right" w:pos="9072"/>
      </w:tabs>
      <w:spacing w:after="0" w:line="240" w:lineRule="auto"/>
    </w:pPr>
  </w:style>
  <w:style w:type="character" w:customStyle="1" w:styleId="En-tteCar">
    <w:name w:val="En-tête Car"/>
    <w:basedOn w:val="Policepardfaut"/>
    <w:link w:val="En-tte"/>
    <w:uiPriority w:val="99"/>
    <w:rsid w:val="002964CD"/>
    <w:rPr>
      <w:sz w:val="22"/>
      <w:szCs w:val="22"/>
      <w:lang w:eastAsia="en-US"/>
    </w:rPr>
  </w:style>
  <w:style w:type="paragraph" w:styleId="Pieddepage">
    <w:name w:val="footer"/>
    <w:basedOn w:val="Normal"/>
    <w:link w:val="PieddepageCar"/>
    <w:uiPriority w:val="99"/>
    <w:unhideWhenUsed/>
    <w:rsid w:val="002964C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964CD"/>
    <w:rPr>
      <w:sz w:val="22"/>
      <w:szCs w:val="22"/>
      <w:lang w:eastAsia="en-US"/>
    </w:rPr>
  </w:style>
  <w:style w:type="paragraph" w:styleId="Textedebulles">
    <w:name w:val="Balloon Text"/>
    <w:basedOn w:val="Normal"/>
    <w:link w:val="TextedebullesCar"/>
    <w:uiPriority w:val="99"/>
    <w:semiHidden/>
    <w:unhideWhenUsed/>
    <w:rsid w:val="002964C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964CD"/>
    <w:rPr>
      <w:rFonts w:ascii="Tahoma" w:hAnsi="Tahoma" w:cs="Tahoma"/>
      <w:sz w:val="16"/>
      <w:szCs w:val="16"/>
      <w:lang w:eastAsia="en-US"/>
    </w:rPr>
  </w:style>
  <w:style w:type="paragraph" w:styleId="Paragraphedeliste">
    <w:name w:val="List Paragraph"/>
    <w:basedOn w:val="Normal"/>
    <w:link w:val="ParagraphedelisteCar"/>
    <w:uiPriority w:val="34"/>
    <w:qFormat/>
    <w:rsid w:val="006150BF"/>
    <w:pPr>
      <w:ind w:left="720"/>
      <w:contextualSpacing/>
    </w:pPr>
  </w:style>
  <w:style w:type="character" w:customStyle="1" w:styleId="Titre1Car">
    <w:name w:val="Titre 1 Car"/>
    <w:basedOn w:val="Policepardfaut"/>
    <w:link w:val="Titre1"/>
    <w:uiPriority w:val="9"/>
    <w:rsid w:val="00127E8A"/>
    <w:rPr>
      <w:rFonts w:asciiTheme="majorHAnsi" w:eastAsiaTheme="majorEastAsia" w:hAnsiTheme="majorHAnsi" w:cstheme="majorBidi"/>
      <w:b/>
      <w:bCs/>
      <w:color w:val="365F91" w:themeColor="accent1" w:themeShade="BF"/>
      <w:sz w:val="28"/>
      <w:szCs w:val="28"/>
      <w:lang w:eastAsia="en-US"/>
    </w:rPr>
  </w:style>
  <w:style w:type="paragraph" w:styleId="En-ttedetabledesmatires">
    <w:name w:val="TOC Heading"/>
    <w:basedOn w:val="Titre1"/>
    <w:next w:val="Normal"/>
    <w:uiPriority w:val="39"/>
    <w:unhideWhenUsed/>
    <w:qFormat/>
    <w:rsid w:val="00127E8A"/>
    <w:pPr>
      <w:outlineLvl w:val="9"/>
    </w:pPr>
    <w:rPr>
      <w:lang w:eastAsia="fr-FR"/>
    </w:rPr>
  </w:style>
  <w:style w:type="paragraph" w:customStyle="1" w:styleId="Style1">
    <w:name w:val="Style1"/>
    <w:basedOn w:val="Normal"/>
    <w:link w:val="Style1Car"/>
    <w:qFormat/>
    <w:rsid w:val="00AB6BE2"/>
    <w:pPr>
      <w:pBdr>
        <w:bottom w:val="single" w:sz="12" w:space="1" w:color="034EA2"/>
      </w:pBdr>
      <w:spacing w:after="0"/>
      <w:jc w:val="center"/>
    </w:pPr>
    <w:rPr>
      <w:b/>
      <w:color w:val="034EA2"/>
      <w:sz w:val="32"/>
    </w:rPr>
  </w:style>
  <w:style w:type="paragraph" w:customStyle="1" w:styleId="Style2">
    <w:name w:val="Style2"/>
    <w:basedOn w:val="Paragraphedeliste"/>
    <w:link w:val="Style2Car"/>
    <w:qFormat/>
    <w:rsid w:val="00FC250F"/>
    <w:pPr>
      <w:numPr>
        <w:numId w:val="1"/>
      </w:numPr>
      <w:spacing w:after="240"/>
    </w:pPr>
    <w:rPr>
      <w:b/>
      <w:color w:val="034EA2"/>
      <w:sz w:val="24"/>
      <w:u w:val="single"/>
    </w:rPr>
  </w:style>
  <w:style w:type="character" w:customStyle="1" w:styleId="Style1Car">
    <w:name w:val="Style1 Car"/>
    <w:basedOn w:val="Policepardfaut"/>
    <w:link w:val="Style1"/>
    <w:rsid w:val="00AB6BE2"/>
    <w:rPr>
      <w:b/>
      <w:color w:val="034EA2"/>
      <w:sz w:val="32"/>
      <w:szCs w:val="22"/>
      <w:lang w:eastAsia="en-US"/>
    </w:rPr>
  </w:style>
  <w:style w:type="paragraph" w:customStyle="1" w:styleId="Paragraphe">
    <w:name w:val="Paragraphe"/>
    <w:basedOn w:val="Style2"/>
    <w:link w:val="ParagrapheCar"/>
    <w:qFormat/>
    <w:rsid w:val="00DD68D0"/>
    <w:pPr>
      <w:numPr>
        <w:numId w:val="0"/>
      </w:numPr>
    </w:pPr>
    <w:rPr>
      <w:b w:val="0"/>
      <w:color w:val="auto"/>
      <w:sz w:val="22"/>
      <w:u w:val="none"/>
    </w:rPr>
  </w:style>
  <w:style w:type="character" w:customStyle="1" w:styleId="ParagraphedelisteCar">
    <w:name w:val="Paragraphe de liste Car"/>
    <w:basedOn w:val="Policepardfaut"/>
    <w:link w:val="Paragraphedeliste"/>
    <w:uiPriority w:val="34"/>
    <w:rsid w:val="00DD68D0"/>
    <w:rPr>
      <w:sz w:val="22"/>
      <w:szCs w:val="22"/>
      <w:lang w:eastAsia="en-US"/>
    </w:rPr>
  </w:style>
  <w:style w:type="character" w:customStyle="1" w:styleId="Style2Car">
    <w:name w:val="Style2 Car"/>
    <w:basedOn w:val="ParagraphedelisteCar"/>
    <w:link w:val="Style2"/>
    <w:rsid w:val="00FC250F"/>
    <w:rPr>
      <w:b/>
      <w:color w:val="034EA2"/>
      <w:sz w:val="24"/>
      <w:szCs w:val="22"/>
      <w:u w:val="single"/>
      <w:lang w:eastAsia="en-US"/>
    </w:rPr>
  </w:style>
  <w:style w:type="character" w:customStyle="1" w:styleId="Titre2Car">
    <w:name w:val="Titre 2 Car"/>
    <w:basedOn w:val="Policepardfaut"/>
    <w:link w:val="Titre2"/>
    <w:uiPriority w:val="9"/>
    <w:semiHidden/>
    <w:rsid w:val="00917A50"/>
    <w:rPr>
      <w:rFonts w:asciiTheme="majorHAnsi" w:eastAsiaTheme="majorEastAsia" w:hAnsiTheme="majorHAnsi" w:cstheme="majorBidi"/>
      <w:b/>
      <w:bCs/>
      <w:color w:val="4F81BD" w:themeColor="accent1"/>
      <w:sz w:val="26"/>
      <w:szCs w:val="26"/>
      <w:lang w:eastAsia="en-US"/>
    </w:rPr>
  </w:style>
  <w:style w:type="character" w:customStyle="1" w:styleId="ParagrapheCar">
    <w:name w:val="Paragraphe Car"/>
    <w:basedOn w:val="Style2Car"/>
    <w:link w:val="Paragraphe"/>
    <w:rsid w:val="00DD68D0"/>
    <w:rPr>
      <w:b w:val="0"/>
      <w:color w:val="034EA2"/>
      <w:sz w:val="22"/>
      <w:szCs w:val="22"/>
      <w:u w:val="single"/>
      <w:lang w:eastAsia="en-US"/>
    </w:rPr>
  </w:style>
  <w:style w:type="character" w:customStyle="1" w:styleId="Titre3Car">
    <w:name w:val="Titre 3 Car"/>
    <w:basedOn w:val="Policepardfaut"/>
    <w:link w:val="Titre3"/>
    <w:uiPriority w:val="9"/>
    <w:semiHidden/>
    <w:rsid w:val="00917A50"/>
    <w:rPr>
      <w:rFonts w:asciiTheme="majorHAnsi" w:eastAsiaTheme="majorEastAsia" w:hAnsiTheme="majorHAnsi" w:cstheme="majorBidi"/>
      <w:b/>
      <w:bCs/>
      <w:color w:val="4F81BD" w:themeColor="accent1"/>
      <w:sz w:val="22"/>
      <w:szCs w:val="22"/>
      <w:lang w:eastAsia="en-US"/>
    </w:rPr>
  </w:style>
  <w:style w:type="paragraph" w:styleId="TM1">
    <w:name w:val="toc 1"/>
    <w:basedOn w:val="Normal"/>
    <w:next w:val="Normal"/>
    <w:autoRedefine/>
    <w:uiPriority w:val="39"/>
    <w:unhideWhenUsed/>
    <w:rsid w:val="00917A50"/>
    <w:pPr>
      <w:spacing w:after="100"/>
    </w:pPr>
  </w:style>
  <w:style w:type="paragraph" w:styleId="TM2">
    <w:name w:val="toc 2"/>
    <w:basedOn w:val="Normal"/>
    <w:next w:val="Normal"/>
    <w:autoRedefine/>
    <w:uiPriority w:val="39"/>
    <w:unhideWhenUsed/>
    <w:rsid w:val="00917A50"/>
    <w:pPr>
      <w:spacing w:after="100"/>
      <w:ind w:left="220"/>
    </w:pPr>
  </w:style>
  <w:style w:type="character" w:styleId="Lienhypertexte">
    <w:name w:val="Hyperlink"/>
    <w:basedOn w:val="Policepardfaut"/>
    <w:uiPriority w:val="99"/>
    <w:unhideWhenUsed/>
    <w:rsid w:val="00917A50"/>
    <w:rPr>
      <w:color w:val="0000FF" w:themeColor="hyperlink"/>
      <w:u w:val="single"/>
    </w:rPr>
  </w:style>
  <w:style w:type="paragraph" w:styleId="NormalWeb">
    <w:name w:val="Normal (Web)"/>
    <w:basedOn w:val="Normal"/>
    <w:uiPriority w:val="99"/>
    <w:unhideWhenUsed/>
    <w:rsid w:val="00255C2E"/>
    <w:pPr>
      <w:spacing w:before="100" w:beforeAutospacing="1" w:after="100" w:afterAutospacing="1" w:line="240" w:lineRule="auto"/>
    </w:pPr>
    <w:rPr>
      <w:rFonts w:ascii="Times New Roman" w:eastAsiaTheme="minorEastAsia" w:hAnsi="Times New Roman"/>
      <w:sz w:val="24"/>
      <w:szCs w:val="24"/>
      <w:lang w:eastAsia="fr-FR"/>
    </w:rPr>
  </w:style>
  <w:style w:type="character" w:styleId="Marquedecommentaire">
    <w:name w:val="annotation reference"/>
    <w:basedOn w:val="Policepardfaut"/>
    <w:uiPriority w:val="99"/>
    <w:semiHidden/>
    <w:unhideWhenUsed/>
    <w:rsid w:val="00BB10C6"/>
    <w:rPr>
      <w:sz w:val="16"/>
      <w:szCs w:val="16"/>
    </w:rPr>
  </w:style>
  <w:style w:type="paragraph" w:styleId="Commentaire">
    <w:name w:val="annotation text"/>
    <w:basedOn w:val="Normal"/>
    <w:link w:val="CommentaireCar"/>
    <w:uiPriority w:val="99"/>
    <w:semiHidden/>
    <w:unhideWhenUsed/>
    <w:rsid w:val="00BB10C6"/>
    <w:pPr>
      <w:spacing w:line="240" w:lineRule="auto"/>
    </w:pPr>
    <w:rPr>
      <w:sz w:val="20"/>
      <w:szCs w:val="20"/>
    </w:rPr>
  </w:style>
  <w:style w:type="character" w:customStyle="1" w:styleId="CommentaireCar">
    <w:name w:val="Commentaire Car"/>
    <w:basedOn w:val="Policepardfaut"/>
    <w:link w:val="Commentaire"/>
    <w:uiPriority w:val="99"/>
    <w:semiHidden/>
    <w:rsid w:val="00BB10C6"/>
    <w:rPr>
      <w:lang w:eastAsia="en-US"/>
    </w:rPr>
  </w:style>
  <w:style w:type="paragraph" w:styleId="Objetducommentaire">
    <w:name w:val="annotation subject"/>
    <w:basedOn w:val="Commentaire"/>
    <w:next w:val="Commentaire"/>
    <w:link w:val="ObjetducommentaireCar"/>
    <w:uiPriority w:val="99"/>
    <w:semiHidden/>
    <w:unhideWhenUsed/>
    <w:rsid w:val="00BB10C6"/>
    <w:rPr>
      <w:b/>
      <w:bCs/>
    </w:rPr>
  </w:style>
  <w:style w:type="character" w:customStyle="1" w:styleId="ObjetducommentaireCar">
    <w:name w:val="Objet du commentaire Car"/>
    <w:basedOn w:val="CommentaireCar"/>
    <w:link w:val="Objetducommentaire"/>
    <w:uiPriority w:val="99"/>
    <w:semiHidden/>
    <w:rsid w:val="00BB10C6"/>
    <w:rPr>
      <w:b/>
      <w:bCs/>
      <w:lang w:eastAsia="en-US"/>
    </w:rPr>
  </w:style>
  <w:style w:type="paragraph" w:styleId="Citationintense">
    <w:name w:val="Intense Quote"/>
    <w:basedOn w:val="Normal"/>
    <w:next w:val="Normal"/>
    <w:link w:val="CitationintenseCar"/>
    <w:autoRedefine/>
    <w:uiPriority w:val="30"/>
    <w:qFormat/>
    <w:rsid w:val="00634BD2"/>
    <w:rPr>
      <w:b/>
      <w:color w:val="0070C0"/>
    </w:rPr>
  </w:style>
  <w:style w:type="character" w:customStyle="1" w:styleId="CitationintenseCar">
    <w:name w:val="Citation intense Car"/>
    <w:basedOn w:val="Policepardfaut"/>
    <w:link w:val="Citationintense"/>
    <w:uiPriority w:val="30"/>
    <w:rsid w:val="00634BD2"/>
    <w:rPr>
      <w:b/>
      <w:color w:val="0070C0"/>
      <w:sz w:val="22"/>
      <w:szCs w:val="22"/>
      <w:lang w:eastAsia="en-US"/>
    </w:rPr>
  </w:style>
  <w:style w:type="paragraph" w:styleId="Citation">
    <w:name w:val="Quote"/>
    <w:basedOn w:val="Citationintense"/>
    <w:next w:val="Normal"/>
    <w:link w:val="CitationCar"/>
    <w:uiPriority w:val="29"/>
    <w:qFormat/>
    <w:rsid w:val="00CE29E1"/>
    <w:pPr>
      <w:pBdr>
        <w:top w:val="single" w:sz="12" w:space="7" w:color="B8CCE4"/>
        <w:left w:val="single" w:sz="36" w:space="4" w:color="4F81BD"/>
        <w:bottom w:val="single" w:sz="24" w:space="7" w:color="9BBB59"/>
        <w:right w:val="single" w:sz="36" w:space="4" w:color="4F81BD"/>
      </w:pBdr>
      <w:shd w:val="clear" w:color="auto" w:fill="4F81BD"/>
      <w:spacing w:before="120" w:line="300" w:lineRule="auto"/>
      <w:jc w:val="center"/>
    </w:pPr>
    <w:rPr>
      <w:rFonts w:asciiTheme="majorHAnsi" w:hAnsiTheme="majorHAnsi"/>
      <w:b w:val="0"/>
      <w:color w:val="FFFFFF" w:themeColor="background1"/>
    </w:rPr>
  </w:style>
  <w:style w:type="character" w:customStyle="1" w:styleId="CitationCar">
    <w:name w:val="Citation Car"/>
    <w:basedOn w:val="Policepardfaut"/>
    <w:link w:val="Citation"/>
    <w:uiPriority w:val="29"/>
    <w:rsid w:val="00CE29E1"/>
    <w:rPr>
      <w:rFonts w:asciiTheme="majorHAnsi" w:hAnsiTheme="majorHAnsi"/>
      <w:color w:val="FFFFFF" w:themeColor="background1"/>
      <w:sz w:val="22"/>
      <w:szCs w:val="22"/>
      <w:shd w:val="clear" w:color="auto" w:fill="4F81BD"/>
      <w:lang w:eastAsia="en-US"/>
    </w:rPr>
  </w:style>
  <w:style w:type="paragraph" w:styleId="Sous-titre">
    <w:name w:val="Subtitle"/>
    <w:basedOn w:val="Normal"/>
    <w:next w:val="Normal"/>
    <w:link w:val="Sous-titreCar"/>
    <w:uiPriority w:val="11"/>
    <w:qFormat/>
    <w:rsid w:val="000F5B9F"/>
    <w:pPr>
      <w:numPr>
        <w:ilvl w:val="1"/>
      </w:numPr>
    </w:pPr>
    <w:rPr>
      <w:rFonts w:asciiTheme="majorHAnsi" w:eastAsiaTheme="majorEastAsia" w:hAnsiTheme="majorHAnsi" w:cstheme="majorBidi"/>
      <w:i/>
      <w:iCs/>
      <w:color w:val="4F81BD" w:themeColor="accent1"/>
      <w:spacing w:val="15"/>
      <w:szCs w:val="24"/>
    </w:rPr>
  </w:style>
  <w:style w:type="character" w:customStyle="1" w:styleId="Sous-titreCar">
    <w:name w:val="Sous-titre Car"/>
    <w:basedOn w:val="Policepardfaut"/>
    <w:link w:val="Sous-titre"/>
    <w:uiPriority w:val="11"/>
    <w:rsid w:val="000F5B9F"/>
    <w:rPr>
      <w:rFonts w:asciiTheme="majorHAnsi" w:eastAsiaTheme="majorEastAsia" w:hAnsiTheme="majorHAnsi" w:cstheme="majorBidi"/>
      <w:i/>
      <w:iCs/>
      <w:color w:val="4F81BD" w:themeColor="accent1"/>
      <w:spacing w:val="15"/>
      <w:sz w:val="22"/>
      <w:szCs w:val="24"/>
      <w:lang w:eastAsia="en-US"/>
    </w:rPr>
  </w:style>
  <w:style w:type="character" w:styleId="Accentuation">
    <w:name w:val="Emphasis"/>
    <w:basedOn w:val="Policepardfaut"/>
    <w:uiPriority w:val="20"/>
    <w:qFormat/>
    <w:rsid w:val="001F7A2F"/>
    <w:rPr>
      <w:i/>
      <w:iCs/>
    </w:rPr>
  </w:style>
  <w:style w:type="paragraph" w:styleId="Notedebasdepage">
    <w:name w:val="footnote text"/>
    <w:basedOn w:val="Normal"/>
    <w:link w:val="NotedebasdepageCar"/>
    <w:uiPriority w:val="99"/>
    <w:unhideWhenUsed/>
    <w:rsid w:val="0065734E"/>
    <w:pPr>
      <w:spacing w:after="0" w:line="240" w:lineRule="auto"/>
    </w:pPr>
    <w:rPr>
      <w:sz w:val="20"/>
      <w:szCs w:val="20"/>
    </w:rPr>
  </w:style>
  <w:style w:type="character" w:customStyle="1" w:styleId="NotedebasdepageCar">
    <w:name w:val="Note de bas de page Car"/>
    <w:basedOn w:val="Policepardfaut"/>
    <w:link w:val="Notedebasdepage"/>
    <w:uiPriority w:val="99"/>
    <w:rsid w:val="0065734E"/>
    <w:rPr>
      <w:lang w:eastAsia="en-US"/>
    </w:rPr>
  </w:style>
  <w:style w:type="character" w:styleId="Appelnotedebasdep">
    <w:name w:val="footnote reference"/>
    <w:basedOn w:val="Policepardfaut"/>
    <w:uiPriority w:val="99"/>
    <w:semiHidden/>
    <w:unhideWhenUsed/>
    <w:rsid w:val="0065734E"/>
    <w:rPr>
      <w:vertAlign w:val="superscript"/>
    </w:rPr>
  </w:style>
  <w:style w:type="table" w:styleId="Grilledutableau">
    <w:name w:val="Table Grid"/>
    <w:basedOn w:val="TableauNormal"/>
    <w:uiPriority w:val="59"/>
    <w:rsid w:val="00FE4C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E4C72"/>
    <w:pPr>
      <w:autoSpaceDE w:val="0"/>
      <w:autoSpaceDN w:val="0"/>
      <w:adjustRightInd w:val="0"/>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5B9F"/>
    <w:pPr>
      <w:spacing w:after="120" w:line="276" w:lineRule="auto"/>
      <w:jc w:val="both"/>
    </w:pPr>
    <w:rPr>
      <w:sz w:val="22"/>
      <w:szCs w:val="22"/>
      <w:lang w:eastAsia="en-US"/>
    </w:rPr>
  </w:style>
  <w:style w:type="paragraph" w:styleId="Titre1">
    <w:name w:val="heading 1"/>
    <w:basedOn w:val="Normal"/>
    <w:next w:val="Normal"/>
    <w:link w:val="Titre1Car"/>
    <w:uiPriority w:val="9"/>
    <w:qFormat/>
    <w:rsid w:val="00127E8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semiHidden/>
    <w:unhideWhenUsed/>
    <w:qFormat/>
    <w:rsid w:val="00917A5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semiHidden/>
    <w:unhideWhenUsed/>
    <w:qFormat/>
    <w:rsid w:val="00917A50"/>
    <w:pPr>
      <w:keepNext/>
      <w:keepLines/>
      <w:spacing w:before="200" w:after="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2964CD"/>
    <w:pPr>
      <w:tabs>
        <w:tab w:val="center" w:pos="4536"/>
        <w:tab w:val="right" w:pos="9072"/>
      </w:tabs>
      <w:spacing w:after="0" w:line="240" w:lineRule="auto"/>
    </w:pPr>
  </w:style>
  <w:style w:type="character" w:customStyle="1" w:styleId="En-tteCar">
    <w:name w:val="En-tête Car"/>
    <w:basedOn w:val="Policepardfaut"/>
    <w:link w:val="En-tte"/>
    <w:uiPriority w:val="99"/>
    <w:rsid w:val="002964CD"/>
    <w:rPr>
      <w:sz w:val="22"/>
      <w:szCs w:val="22"/>
      <w:lang w:eastAsia="en-US"/>
    </w:rPr>
  </w:style>
  <w:style w:type="paragraph" w:styleId="Pieddepage">
    <w:name w:val="footer"/>
    <w:basedOn w:val="Normal"/>
    <w:link w:val="PieddepageCar"/>
    <w:uiPriority w:val="99"/>
    <w:unhideWhenUsed/>
    <w:rsid w:val="002964C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964CD"/>
    <w:rPr>
      <w:sz w:val="22"/>
      <w:szCs w:val="22"/>
      <w:lang w:eastAsia="en-US"/>
    </w:rPr>
  </w:style>
  <w:style w:type="paragraph" w:styleId="Textedebulles">
    <w:name w:val="Balloon Text"/>
    <w:basedOn w:val="Normal"/>
    <w:link w:val="TextedebullesCar"/>
    <w:uiPriority w:val="99"/>
    <w:semiHidden/>
    <w:unhideWhenUsed/>
    <w:rsid w:val="002964C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964CD"/>
    <w:rPr>
      <w:rFonts w:ascii="Tahoma" w:hAnsi="Tahoma" w:cs="Tahoma"/>
      <w:sz w:val="16"/>
      <w:szCs w:val="16"/>
      <w:lang w:eastAsia="en-US"/>
    </w:rPr>
  </w:style>
  <w:style w:type="paragraph" w:styleId="Paragraphedeliste">
    <w:name w:val="List Paragraph"/>
    <w:basedOn w:val="Normal"/>
    <w:link w:val="ParagraphedelisteCar"/>
    <w:uiPriority w:val="34"/>
    <w:qFormat/>
    <w:rsid w:val="006150BF"/>
    <w:pPr>
      <w:ind w:left="720"/>
      <w:contextualSpacing/>
    </w:pPr>
  </w:style>
  <w:style w:type="character" w:customStyle="1" w:styleId="Titre1Car">
    <w:name w:val="Titre 1 Car"/>
    <w:basedOn w:val="Policepardfaut"/>
    <w:link w:val="Titre1"/>
    <w:uiPriority w:val="9"/>
    <w:rsid w:val="00127E8A"/>
    <w:rPr>
      <w:rFonts w:asciiTheme="majorHAnsi" w:eastAsiaTheme="majorEastAsia" w:hAnsiTheme="majorHAnsi" w:cstheme="majorBidi"/>
      <w:b/>
      <w:bCs/>
      <w:color w:val="365F91" w:themeColor="accent1" w:themeShade="BF"/>
      <w:sz w:val="28"/>
      <w:szCs w:val="28"/>
      <w:lang w:eastAsia="en-US"/>
    </w:rPr>
  </w:style>
  <w:style w:type="paragraph" w:styleId="En-ttedetabledesmatires">
    <w:name w:val="TOC Heading"/>
    <w:basedOn w:val="Titre1"/>
    <w:next w:val="Normal"/>
    <w:uiPriority w:val="39"/>
    <w:unhideWhenUsed/>
    <w:qFormat/>
    <w:rsid w:val="00127E8A"/>
    <w:pPr>
      <w:outlineLvl w:val="9"/>
    </w:pPr>
    <w:rPr>
      <w:lang w:eastAsia="fr-FR"/>
    </w:rPr>
  </w:style>
  <w:style w:type="paragraph" w:customStyle="1" w:styleId="Style1">
    <w:name w:val="Style1"/>
    <w:basedOn w:val="Normal"/>
    <w:link w:val="Style1Car"/>
    <w:qFormat/>
    <w:rsid w:val="00AB6BE2"/>
    <w:pPr>
      <w:pBdr>
        <w:bottom w:val="single" w:sz="12" w:space="1" w:color="034EA2"/>
      </w:pBdr>
      <w:spacing w:after="0"/>
      <w:jc w:val="center"/>
    </w:pPr>
    <w:rPr>
      <w:b/>
      <w:color w:val="034EA2"/>
      <w:sz w:val="32"/>
    </w:rPr>
  </w:style>
  <w:style w:type="paragraph" w:customStyle="1" w:styleId="Style2">
    <w:name w:val="Style2"/>
    <w:basedOn w:val="Paragraphedeliste"/>
    <w:link w:val="Style2Car"/>
    <w:qFormat/>
    <w:rsid w:val="00FC250F"/>
    <w:pPr>
      <w:numPr>
        <w:numId w:val="1"/>
      </w:numPr>
      <w:spacing w:after="240"/>
    </w:pPr>
    <w:rPr>
      <w:b/>
      <w:color w:val="034EA2"/>
      <w:sz w:val="24"/>
      <w:u w:val="single"/>
    </w:rPr>
  </w:style>
  <w:style w:type="character" w:customStyle="1" w:styleId="Style1Car">
    <w:name w:val="Style1 Car"/>
    <w:basedOn w:val="Policepardfaut"/>
    <w:link w:val="Style1"/>
    <w:rsid w:val="00AB6BE2"/>
    <w:rPr>
      <w:b/>
      <w:color w:val="034EA2"/>
      <w:sz w:val="32"/>
      <w:szCs w:val="22"/>
      <w:lang w:eastAsia="en-US"/>
    </w:rPr>
  </w:style>
  <w:style w:type="paragraph" w:customStyle="1" w:styleId="Paragraphe">
    <w:name w:val="Paragraphe"/>
    <w:basedOn w:val="Style2"/>
    <w:link w:val="ParagrapheCar"/>
    <w:qFormat/>
    <w:rsid w:val="00DD68D0"/>
    <w:pPr>
      <w:numPr>
        <w:numId w:val="0"/>
      </w:numPr>
    </w:pPr>
    <w:rPr>
      <w:b w:val="0"/>
      <w:color w:val="auto"/>
      <w:sz w:val="22"/>
      <w:u w:val="none"/>
    </w:rPr>
  </w:style>
  <w:style w:type="character" w:customStyle="1" w:styleId="ParagraphedelisteCar">
    <w:name w:val="Paragraphe de liste Car"/>
    <w:basedOn w:val="Policepardfaut"/>
    <w:link w:val="Paragraphedeliste"/>
    <w:uiPriority w:val="34"/>
    <w:rsid w:val="00DD68D0"/>
    <w:rPr>
      <w:sz w:val="22"/>
      <w:szCs w:val="22"/>
      <w:lang w:eastAsia="en-US"/>
    </w:rPr>
  </w:style>
  <w:style w:type="character" w:customStyle="1" w:styleId="Style2Car">
    <w:name w:val="Style2 Car"/>
    <w:basedOn w:val="ParagraphedelisteCar"/>
    <w:link w:val="Style2"/>
    <w:rsid w:val="00FC250F"/>
    <w:rPr>
      <w:b/>
      <w:color w:val="034EA2"/>
      <w:sz w:val="24"/>
      <w:szCs w:val="22"/>
      <w:u w:val="single"/>
      <w:lang w:eastAsia="en-US"/>
    </w:rPr>
  </w:style>
  <w:style w:type="character" w:customStyle="1" w:styleId="Titre2Car">
    <w:name w:val="Titre 2 Car"/>
    <w:basedOn w:val="Policepardfaut"/>
    <w:link w:val="Titre2"/>
    <w:uiPriority w:val="9"/>
    <w:semiHidden/>
    <w:rsid w:val="00917A50"/>
    <w:rPr>
      <w:rFonts w:asciiTheme="majorHAnsi" w:eastAsiaTheme="majorEastAsia" w:hAnsiTheme="majorHAnsi" w:cstheme="majorBidi"/>
      <w:b/>
      <w:bCs/>
      <w:color w:val="4F81BD" w:themeColor="accent1"/>
      <w:sz w:val="26"/>
      <w:szCs w:val="26"/>
      <w:lang w:eastAsia="en-US"/>
    </w:rPr>
  </w:style>
  <w:style w:type="character" w:customStyle="1" w:styleId="ParagrapheCar">
    <w:name w:val="Paragraphe Car"/>
    <w:basedOn w:val="Style2Car"/>
    <w:link w:val="Paragraphe"/>
    <w:rsid w:val="00DD68D0"/>
    <w:rPr>
      <w:b w:val="0"/>
      <w:color w:val="034EA2"/>
      <w:sz w:val="22"/>
      <w:szCs w:val="22"/>
      <w:u w:val="single"/>
      <w:lang w:eastAsia="en-US"/>
    </w:rPr>
  </w:style>
  <w:style w:type="character" w:customStyle="1" w:styleId="Titre3Car">
    <w:name w:val="Titre 3 Car"/>
    <w:basedOn w:val="Policepardfaut"/>
    <w:link w:val="Titre3"/>
    <w:uiPriority w:val="9"/>
    <w:semiHidden/>
    <w:rsid w:val="00917A50"/>
    <w:rPr>
      <w:rFonts w:asciiTheme="majorHAnsi" w:eastAsiaTheme="majorEastAsia" w:hAnsiTheme="majorHAnsi" w:cstheme="majorBidi"/>
      <w:b/>
      <w:bCs/>
      <w:color w:val="4F81BD" w:themeColor="accent1"/>
      <w:sz w:val="22"/>
      <w:szCs w:val="22"/>
      <w:lang w:eastAsia="en-US"/>
    </w:rPr>
  </w:style>
  <w:style w:type="paragraph" w:styleId="TM1">
    <w:name w:val="toc 1"/>
    <w:basedOn w:val="Normal"/>
    <w:next w:val="Normal"/>
    <w:autoRedefine/>
    <w:uiPriority w:val="39"/>
    <w:unhideWhenUsed/>
    <w:rsid w:val="00917A50"/>
    <w:pPr>
      <w:spacing w:after="100"/>
    </w:pPr>
  </w:style>
  <w:style w:type="paragraph" w:styleId="TM2">
    <w:name w:val="toc 2"/>
    <w:basedOn w:val="Normal"/>
    <w:next w:val="Normal"/>
    <w:autoRedefine/>
    <w:uiPriority w:val="39"/>
    <w:unhideWhenUsed/>
    <w:rsid w:val="00917A50"/>
    <w:pPr>
      <w:spacing w:after="100"/>
      <w:ind w:left="220"/>
    </w:pPr>
  </w:style>
  <w:style w:type="character" w:styleId="Lienhypertexte">
    <w:name w:val="Hyperlink"/>
    <w:basedOn w:val="Policepardfaut"/>
    <w:uiPriority w:val="99"/>
    <w:unhideWhenUsed/>
    <w:rsid w:val="00917A50"/>
    <w:rPr>
      <w:color w:val="0000FF" w:themeColor="hyperlink"/>
      <w:u w:val="single"/>
    </w:rPr>
  </w:style>
  <w:style w:type="paragraph" w:styleId="NormalWeb">
    <w:name w:val="Normal (Web)"/>
    <w:basedOn w:val="Normal"/>
    <w:uiPriority w:val="99"/>
    <w:unhideWhenUsed/>
    <w:rsid w:val="00255C2E"/>
    <w:pPr>
      <w:spacing w:before="100" w:beforeAutospacing="1" w:after="100" w:afterAutospacing="1" w:line="240" w:lineRule="auto"/>
    </w:pPr>
    <w:rPr>
      <w:rFonts w:ascii="Times New Roman" w:eastAsiaTheme="minorEastAsia" w:hAnsi="Times New Roman"/>
      <w:sz w:val="24"/>
      <w:szCs w:val="24"/>
      <w:lang w:eastAsia="fr-FR"/>
    </w:rPr>
  </w:style>
  <w:style w:type="character" w:styleId="Marquedecommentaire">
    <w:name w:val="annotation reference"/>
    <w:basedOn w:val="Policepardfaut"/>
    <w:uiPriority w:val="99"/>
    <w:semiHidden/>
    <w:unhideWhenUsed/>
    <w:rsid w:val="00BB10C6"/>
    <w:rPr>
      <w:sz w:val="16"/>
      <w:szCs w:val="16"/>
    </w:rPr>
  </w:style>
  <w:style w:type="paragraph" w:styleId="Commentaire">
    <w:name w:val="annotation text"/>
    <w:basedOn w:val="Normal"/>
    <w:link w:val="CommentaireCar"/>
    <w:uiPriority w:val="99"/>
    <w:semiHidden/>
    <w:unhideWhenUsed/>
    <w:rsid w:val="00BB10C6"/>
    <w:pPr>
      <w:spacing w:line="240" w:lineRule="auto"/>
    </w:pPr>
    <w:rPr>
      <w:sz w:val="20"/>
      <w:szCs w:val="20"/>
    </w:rPr>
  </w:style>
  <w:style w:type="character" w:customStyle="1" w:styleId="CommentaireCar">
    <w:name w:val="Commentaire Car"/>
    <w:basedOn w:val="Policepardfaut"/>
    <w:link w:val="Commentaire"/>
    <w:uiPriority w:val="99"/>
    <w:semiHidden/>
    <w:rsid w:val="00BB10C6"/>
    <w:rPr>
      <w:lang w:eastAsia="en-US"/>
    </w:rPr>
  </w:style>
  <w:style w:type="paragraph" w:styleId="Objetducommentaire">
    <w:name w:val="annotation subject"/>
    <w:basedOn w:val="Commentaire"/>
    <w:next w:val="Commentaire"/>
    <w:link w:val="ObjetducommentaireCar"/>
    <w:uiPriority w:val="99"/>
    <w:semiHidden/>
    <w:unhideWhenUsed/>
    <w:rsid w:val="00BB10C6"/>
    <w:rPr>
      <w:b/>
      <w:bCs/>
    </w:rPr>
  </w:style>
  <w:style w:type="character" w:customStyle="1" w:styleId="ObjetducommentaireCar">
    <w:name w:val="Objet du commentaire Car"/>
    <w:basedOn w:val="CommentaireCar"/>
    <w:link w:val="Objetducommentaire"/>
    <w:uiPriority w:val="99"/>
    <w:semiHidden/>
    <w:rsid w:val="00BB10C6"/>
    <w:rPr>
      <w:b/>
      <w:bCs/>
      <w:lang w:eastAsia="en-US"/>
    </w:rPr>
  </w:style>
  <w:style w:type="paragraph" w:styleId="Citationintense">
    <w:name w:val="Intense Quote"/>
    <w:basedOn w:val="Normal"/>
    <w:next w:val="Normal"/>
    <w:link w:val="CitationintenseCar"/>
    <w:autoRedefine/>
    <w:uiPriority w:val="30"/>
    <w:qFormat/>
    <w:rsid w:val="00634BD2"/>
    <w:rPr>
      <w:b/>
      <w:color w:val="0070C0"/>
    </w:rPr>
  </w:style>
  <w:style w:type="character" w:customStyle="1" w:styleId="CitationintenseCar">
    <w:name w:val="Citation intense Car"/>
    <w:basedOn w:val="Policepardfaut"/>
    <w:link w:val="Citationintense"/>
    <w:uiPriority w:val="30"/>
    <w:rsid w:val="00634BD2"/>
    <w:rPr>
      <w:b/>
      <w:color w:val="0070C0"/>
      <w:sz w:val="22"/>
      <w:szCs w:val="22"/>
      <w:lang w:eastAsia="en-US"/>
    </w:rPr>
  </w:style>
  <w:style w:type="paragraph" w:styleId="Citation">
    <w:name w:val="Quote"/>
    <w:basedOn w:val="Citationintense"/>
    <w:next w:val="Normal"/>
    <w:link w:val="CitationCar"/>
    <w:uiPriority w:val="29"/>
    <w:qFormat/>
    <w:rsid w:val="00CE29E1"/>
    <w:pPr>
      <w:pBdr>
        <w:top w:val="single" w:sz="12" w:space="7" w:color="B8CCE4"/>
        <w:left w:val="single" w:sz="36" w:space="4" w:color="4F81BD"/>
        <w:bottom w:val="single" w:sz="24" w:space="7" w:color="9BBB59"/>
        <w:right w:val="single" w:sz="36" w:space="4" w:color="4F81BD"/>
      </w:pBdr>
      <w:shd w:val="clear" w:color="auto" w:fill="4F81BD"/>
      <w:spacing w:before="120" w:line="300" w:lineRule="auto"/>
      <w:jc w:val="center"/>
    </w:pPr>
    <w:rPr>
      <w:rFonts w:asciiTheme="majorHAnsi" w:hAnsiTheme="majorHAnsi"/>
      <w:b w:val="0"/>
      <w:color w:val="FFFFFF" w:themeColor="background1"/>
    </w:rPr>
  </w:style>
  <w:style w:type="character" w:customStyle="1" w:styleId="CitationCar">
    <w:name w:val="Citation Car"/>
    <w:basedOn w:val="Policepardfaut"/>
    <w:link w:val="Citation"/>
    <w:uiPriority w:val="29"/>
    <w:rsid w:val="00CE29E1"/>
    <w:rPr>
      <w:rFonts w:asciiTheme="majorHAnsi" w:hAnsiTheme="majorHAnsi"/>
      <w:color w:val="FFFFFF" w:themeColor="background1"/>
      <w:sz w:val="22"/>
      <w:szCs w:val="22"/>
      <w:shd w:val="clear" w:color="auto" w:fill="4F81BD"/>
      <w:lang w:eastAsia="en-US"/>
    </w:rPr>
  </w:style>
  <w:style w:type="paragraph" w:styleId="Sous-titre">
    <w:name w:val="Subtitle"/>
    <w:basedOn w:val="Normal"/>
    <w:next w:val="Normal"/>
    <w:link w:val="Sous-titreCar"/>
    <w:uiPriority w:val="11"/>
    <w:qFormat/>
    <w:rsid w:val="000F5B9F"/>
    <w:pPr>
      <w:numPr>
        <w:ilvl w:val="1"/>
      </w:numPr>
    </w:pPr>
    <w:rPr>
      <w:rFonts w:asciiTheme="majorHAnsi" w:eastAsiaTheme="majorEastAsia" w:hAnsiTheme="majorHAnsi" w:cstheme="majorBidi"/>
      <w:i/>
      <w:iCs/>
      <w:color w:val="4F81BD" w:themeColor="accent1"/>
      <w:spacing w:val="15"/>
      <w:szCs w:val="24"/>
    </w:rPr>
  </w:style>
  <w:style w:type="character" w:customStyle="1" w:styleId="Sous-titreCar">
    <w:name w:val="Sous-titre Car"/>
    <w:basedOn w:val="Policepardfaut"/>
    <w:link w:val="Sous-titre"/>
    <w:uiPriority w:val="11"/>
    <w:rsid w:val="000F5B9F"/>
    <w:rPr>
      <w:rFonts w:asciiTheme="majorHAnsi" w:eastAsiaTheme="majorEastAsia" w:hAnsiTheme="majorHAnsi" w:cstheme="majorBidi"/>
      <w:i/>
      <w:iCs/>
      <w:color w:val="4F81BD" w:themeColor="accent1"/>
      <w:spacing w:val="15"/>
      <w:sz w:val="22"/>
      <w:szCs w:val="24"/>
      <w:lang w:eastAsia="en-US"/>
    </w:rPr>
  </w:style>
  <w:style w:type="character" w:styleId="Accentuation">
    <w:name w:val="Emphasis"/>
    <w:basedOn w:val="Policepardfaut"/>
    <w:uiPriority w:val="20"/>
    <w:qFormat/>
    <w:rsid w:val="001F7A2F"/>
    <w:rPr>
      <w:i/>
      <w:iCs/>
    </w:rPr>
  </w:style>
  <w:style w:type="paragraph" w:styleId="Notedebasdepage">
    <w:name w:val="footnote text"/>
    <w:basedOn w:val="Normal"/>
    <w:link w:val="NotedebasdepageCar"/>
    <w:uiPriority w:val="99"/>
    <w:unhideWhenUsed/>
    <w:rsid w:val="0065734E"/>
    <w:pPr>
      <w:spacing w:after="0" w:line="240" w:lineRule="auto"/>
    </w:pPr>
    <w:rPr>
      <w:sz w:val="20"/>
      <w:szCs w:val="20"/>
    </w:rPr>
  </w:style>
  <w:style w:type="character" w:customStyle="1" w:styleId="NotedebasdepageCar">
    <w:name w:val="Note de bas de page Car"/>
    <w:basedOn w:val="Policepardfaut"/>
    <w:link w:val="Notedebasdepage"/>
    <w:uiPriority w:val="99"/>
    <w:rsid w:val="0065734E"/>
    <w:rPr>
      <w:lang w:eastAsia="en-US"/>
    </w:rPr>
  </w:style>
  <w:style w:type="character" w:styleId="Appelnotedebasdep">
    <w:name w:val="footnote reference"/>
    <w:basedOn w:val="Policepardfaut"/>
    <w:uiPriority w:val="99"/>
    <w:semiHidden/>
    <w:unhideWhenUsed/>
    <w:rsid w:val="0065734E"/>
    <w:rPr>
      <w:vertAlign w:val="superscript"/>
    </w:rPr>
  </w:style>
  <w:style w:type="table" w:styleId="Grilledutableau">
    <w:name w:val="Table Grid"/>
    <w:basedOn w:val="TableauNormal"/>
    <w:uiPriority w:val="59"/>
    <w:rsid w:val="00FE4C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E4C72"/>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8243045">
      <w:bodyDiv w:val="1"/>
      <w:marLeft w:val="0"/>
      <w:marRight w:val="0"/>
      <w:marTop w:val="0"/>
      <w:marBottom w:val="0"/>
      <w:divBdr>
        <w:top w:val="none" w:sz="0" w:space="0" w:color="auto"/>
        <w:left w:val="none" w:sz="0" w:space="0" w:color="auto"/>
        <w:bottom w:val="none" w:sz="0" w:space="0" w:color="auto"/>
        <w:right w:val="none" w:sz="0" w:space="0" w:color="auto"/>
      </w:divBdr>
    </w:div>
    <w:div w:id="325061725">
      <w:bodyDiv w:val="1"/>
      <w:marLeft w:val="0"/>
      <w:marRight w:val="0"/>
      <w:marTop w:val="0"/>
      <w:marBottom w:val="0"/>
      <w:divBdr>
        <w:top w:val="none" w:sz="0" w:space="0" w:color="auto"/>
        <w:left w:val="none" w:sz="0" w:space="0" w:color="auto"/>
        <w:bottom w:val="none" w:sz="0" w:space="0" w:color="auto"/>
        <w:right w:val="none" w:sz="0" w:space="0" w:color="auto"/>
      </w:divBdr>
    </w:div>
    <w:div w:id="341318079">
      <w:bodyDiv w:val="1"/>
      <w:marLeft w:val="0"/>
      <w:marRight w:val="0"/>
      <w:marTop w:val="0"/>
      <w:marBottom w:val="0"/>
      <w:divBdr>
        <w:top w:val="none" w:sz="0" w:space="0" w:color="auto"/>
        <w:left w:val="none" w:sz="0" w:space="0" w:color="auto"/>
        <w:bottom w:val="none" w:sz="0" w:space="0" w:color="auto"/>
        <w:right w:val="none" w:sz="0" w:space="0" w:color="auto"/>
      </w:divBdr>
      <w:divsChild>
        <w:div w:id="1646859027">
          <w:marLeft w:val="547"/>
          <w:marRight w:val="0"/>
          <w:marTop w:val="106"/>
          <w:marBottom w:val="0"/>
          <w:divBdr>
            <w:top w:val="none" w:sz="0" w:space="0" w:color="auto"/>
            <w:left w:val="none" w:sz="0" w:space="0" w:color="auto"/>
            <w:bottom w:val="none" w:sz="0" w:space="0" w:color="auto"/>
            <w:right w:val="none" w:sz="0" w:space="0" w:color="auto"/>
          </w:divBdr>
        </w:div>
        <w:div w:id="1250848707">
          <w:marLeft w:val="965"/>
          <w:marRight w:val="0"/>
          <w:marTop w:val="65"/>
          <w:marBottom w:val="0"/>
          <w:divBdr>
            <w:top w:val="none" w:sz="0" w:space="0" w:color="auto"/>
            <w:left w:val="none" w:sz="0" w:space="0" w:color="auto"/>
            <w:bottom w:val="none" w:sz="0" w:space="0" w:color="auto"/>
            <w:right w:val="none" w:sz="0" w:space="0" w:color="auto"/>
          </w:divBdr>
        </w:div>
        <w:div w:id="1555968984">
          <w:marLeft w:val="1526"/>
          <w:marRight w:val="0"/>
          <w:marTop w:val="70"/>
          <w:marBottom w:val="0"/>
          <w:divBdr>
            <w:top w:val="none" w:sz="0" w:space="0" w:color="auto"/>
            <w:left w:val="none" w:sz="0" w:space="0" w:color="auto"/>
            <w:bottom w:val="none" w:sz="0" w:space="0" w:color="auto"/>
            <w:right w:val="none" w:sz="0" w:space="0" w:color="auto"/>
          </w:divBdr>
        </w:div>
        <w:div w:id="1327368190">
          <w:marLeft w:val="1526"/>
          <w:marRight w:val="0"/>
          <w:marTop w:val="70"/>
          <w:marBottom w:val="0"/>
          <w:divBdr>
            <w:top w:val="none" w:sz="0" w:space="0" w:color="auto"/>
            <w:left w:val="none" w:sz="0" w:space="0" w:color="auto"/>
            <w:bottom w:val="none" w:sz="0" w:space="0" w:color="auto"/>
            <w:right w:val="none" w:sz="0" w:space="0" w:color="auto"/>
          </w:divBdr>
        </w:div>
        <w:div w:id="1204295627">
          <w:marLeft w:val="965"/>
          <w:marRight w:val="0"/>
          <w:marTop w:val="65"/>
          <w:marBottom w:val="0"/>
          <w:divBdr>
            <w:top w:val="none" w:sz="0" w:space="0" w:color="auto"/>
            <w:left w:val="none" w:sz="0" w:space="0" w:color="auto"/>
            <w:bottom w:val="none" w:sz="0" w:space="0" w:color="auto"/>
            <w:right w:val="none" w:sz="0" w:space="0" w:color="auto"/>
          </w:divBdr>
        </w:div>
        <w:div w:id="119614024">
          <w:marLeft w:val="965"/>
          <w:marRight w:val="0"/>
          <w:marTop w:val="65"/>
          <w:marBottom w:val="0"/>
          <w:divBdr>
            <w:top w:val="none" w:sz="0" w:space="0" w:color="auto"/>
            <w:left w:val="none" w:sz="0" w:space="0" w:color="auto"/>
            <w:bottom w:val="none" w:sz="0" w:space="0" w:color="auto"/>
            <w:right w:val="none" w:sz="0" w:space="0" w:color="auto"/>
          </w:divBdr>
        </w:div>
        <w:div w:id="294678466">
          <w:marLeft w:val="965"/>
          <w:marRight w:val="0"/>
          <w:marTop w:val="65"/>
          <w:marBottom w:val="0"/>
          <w:divBdr>
            <w:top w:val="none" w:sz="0" w:space="0" w:color="auto"/>
            <w:left w:val="none" w:sz="0" w:space="0" w:color="auto"/>
            <w:bottom w:val="none" w:sz="0" w:space="0" w:color="auto"/>
            <w:right w:val="none" w:sz="0" w:space="0" w:color="auto"/>
          </w:divBdr>
        </w:div>
      </w:divsChild>
    </w:div>
    <w:div w:id="755171336">
      <w:bodyDiv w:val="1"/>
      <w:marLeft w:val="0"/>
      <w:marRight w:val="0"/>
      <w:marTop w:val="0"/>
      <w:marBottom w:val="0"/>
      <w:divBdr>
        <w:top w:val="none" w:sz="0" w:space="0" w:color="auto"/>
        <w:left w:val="none" w:sz="0" w:space="0" w:color="auto"/>
        <w:bottom w:val="none" w:sz="0" w:space="0" w:color="auto"/>
        <w:right w:val="none" w:sz="0" w:space="0" w:color="auto"/>
      </w:divBdr>
      <w:divsChild>
        <w:div w:id="1109665472">
          <w:marLeft w:val="547"/>
          <w:marRight w:val="0"/>
          <w:marTop w:val="96"/>
          <w:marBottom w:val="0"/>
          <w:divBdr>
            <w:top w:val="none" w:sz="0" w:space="0" w:color="auto"/>
            <w:left w:val="none" w:sz="0" w:space="0" w:color="auto"/>
            <w:bottom w:val="none" w:sz="0" w:space="0" w:color="auto"/>
            <w:right w:val="none" w:sz="0" w:space="0" w:color="auto"/>
          </w:divBdr>
        </w:div>
      </w:divsChild>
    </w:div>
    <w:div w:id="790051633">
      <w:bodyDiv w:val="1"/>
      <w:marLeft w:val="0"/>
      <w:marRight w:val="0"/>
      <w:marTop w:val="0"/>
      <w:marBottom w:val="0"/>
      <w:divBdr>
        <w:top w:val="none" w:sz="0" w:space="0" w:color="auto"/>
        <w:left w:val="none" w:sz="0" w:space="0" w:color="auto"/>
        <w:bottom w:val="none" w:sz="0" w:space="0" w:color="auto"/>
        <w:right w:val="none" w:sz="0" w:space="0" w:color="auto"/>
      </w:divBdr>
      <w:divsChild>
        <w:div w:id="944579698">
          <w:marLeft w:val="547"/>
          <w:marRight w:val="0"/>
          <w:marTop w:val="96"/>
          <w:marBottom w:val="0"/>
          <w:divBdr>
            <w:top w:val="none" w:sz="0" w:space="0" w:color="auto"/>
            <w:left w:val="none" w:sz="0" w:space="0" w:color="auto"/>
            <w:bottom w:val="none" w:sz="0" w:space="0" w:color="auto"/>
            <w:right w:val="none" w:sz="0" w:space="0" w:color="auto"/>
          </w:divBdr>
        </w:div>
        <w:div w:id="70003513">
          <w:marLeft w:val="965"/>
          <w:marRight w:val="0"/>
          <w:marTop w:val="86"/>
          <w:marBottom w:val="0"/>
          <w:divBdr>
            <w:top w:val="none" w:sz="0" w:space="0" w:color="auto"/>
            <w:left w:val="none" w:sz="0" w:space="0" w:color="auto"/>
            <w:bottom w:val="none" w:sz="0" w:space="0" w:color="auto"/>
            <w:right w:val="none" w:sz="0" w:space="0" w:color="auto"/>
          </w:divBdr>
        </w:div>
        <w:div w:id="205609175">
          <w:marLeft w:val="965"/>
          <w:marRight w:val="0"/>
          <w:marTop w:val="86"/>
          <w:marBottom w:val="0"/>
          <w:divBdr>
            <w:top w:val="none" w:sz="0" w:space="0" w:color="auto"/>
            <w:left w:val="none" w:sz="0" w:space="0" w:color="auto"/>
            <w:bottom w:val="none" w:sz="0" w:space="0" w:color="auto"/>
            <w:right w:val="none" w:sz="0" w:space="0" w:color="auto"/>
          </w:divBdr>
        </w:div>
        <w:div w:id="24450088">
          <w:marLeft w:val="1526"/>
          <w:marRight w:val="0"/>
          <w:marTop w:val="77"/>
          <w:marBottom w:val="0"/>
          <w:divBdr>
            <w:top w:val="none" w:sz="0" w:space="0" w:color="auto"/>
            <w:left w:val="none" w:sz="0" w:space="0" w:color="auto"/>
            <w:bottom w:val="none" w:sz="0" w:space="0" w:color="auto"/>
            <w:right w:val="none" w:sz="0" w:space="0" w:color="auto"/>
          </w:divBdr>
        </w:div>
        <w:div w:id="2070108521">
          <w:marLeft w:val="1526"/>
          <w:marRight w:val="0"/>
          <w:marTop w:val="77"/>
          <w:marBottom w:val="0"/>
          <w:divBdr>
            <w:top w:val="none" w:sz="0" w:space="0" w:color="auto"/>
            <w:left w:val="none" w:sz="0" w:space="0" w:color="auto"/>
            <w:bottom w:val="none" w:sz="0" w:space="0" w:color="auto"/>
            <w:right w:val="none" w:sz="0" w:space="0" w:color="auto"/>
          </w:divBdr>
        </w:div>
        <w:div w:id="755058278">
          <w:marLeft w:val="1526"/>
          <w:marRight w:val="0"/>
          <w:marTop w:val="77"/>
          <w:marBottom w:val="0"/>
          <w:divBdr>
            <w:top w:val="none" w:sz="0" w:space="0" w:color="auto"/>
            <w:left w:val="none" w:sz="0" w:space="0" w:color="auto"/>
            <w:bottom w:val="none" w:sz="0" w:space="0" w:color="auto"/>
            <w:right w:val="none" w:sz="0" w:space="0" w:color="auto"/>
          </w:divBdr>
        </w:div>
        <w:div w:id="1840269555">
          <w:marLeft w:val="1526"/>
          <w:marRight w:val="0"/>
          <w:marTop w:val="77"/>
          <w:marBottom w:val="0"/>
          <w:divBdr>
            <w:top w:val="none" w:sz="0" w:space="0" w:color="auto"/>
            <w:left w:val="none" w:sz="0" w:space="0" w:color="auto"/>
            <w:bottom w:val="none" w:sz="0" w:space="0" w:color="auto"/>
            <w:right w:val="none" w:sz="0" w:space="0" w:color="auto"/>
          </w:divBdr>
        </w:div>
        <w:div w:id="252208273">
          <w:marLeft w:val="965"/>
          <w:marRight w:val="0"/>
          <w:marTop w:val="86"/>
          <w:marBottom w:val="0"/>
          <w:divBdr>
            <w:top w:val="none" w:sz="0" w:space="0" w:color="auto"/>
            <w:left w:val="none" w:sz="0" w:space="0" w:color="auto"/>
            <w:bottom w:val="none" w:sz="0" w:space="0" w:color="auto"/>
            <w:right w:val="none" w:sz="0" w:space="0" w:color="auto"/>
          </w:divBdr>
        </w:div>
      </w:divsChild>
    </w:div>
    <w:div w:id="1105808717">
      <w:bodyDiv w:val="1"/>
      <w:marLeft w:val="0"/>
      <w:marRight w:val="0"/>
      <w:marTop w:val="0"/>
      <w:marBottom w:val="0"/>
      <w:divBdr>
        <w:top w:val="none" w:sz="0" w:space="0" w:color="auto"/>
        <w:left w:val="none" w:sz="0" w:space="0" w:color="auto"/>
        <w:bottom w:val="none" w:sz="0" w:space="0" w:color="auto"/>
        <w:right w:val="none" w:sz="0" w:space="0" w:color="auto"/>
      </w:divBdr>
      <w:divsChild>
        <w:div w:id="736170999">
          <w:marLeft w:val="547"/>
          <w:marRight w:val="0"/>
          <w:marTop w:val="106"/>
          <w:marBottom w:val="0"/>
          <w:divBdr>
            <w:top w:val="none" w:sz="0" w:space="0" w:color="auto"/>
            <w:left w:val="none" w:sz="0" w:space="0" w:color="auto"/>
            <w:bottom w:val="none" w:sz="0" w:space="0" w:color="auto"/>
            <w:right w:val="none" w:sz="0" w:space="0" w:color="auto"/>
          </w:divBdr>
        </w:div>
        <w:div w:id="313223261">
          <w:marLeft w:val="965"/>
          <w:marRight w:val="0"/>
          <w:marTop w:val="65"/>
          <w:marBottom w:val="0"/>
          <w:divBdr>
            <w:top w:val="none" w:sz="0" w:space="0" w:color="auto"/>
            <w:left w:val="none" w:sz="0" w:space="0" w:color="auto"/>
            <w:bottom w:val="none" w:sz="0" w:space="0" w:color="auto"/>
            <w:right w:val="none" w:sz="0" w:space="0" w:color="auto"/>
          </w:divBdr>
        </w:div>
        <w:div w:id="792409227">
          <w:marLeft w:val="1526"/>
          <w:marRight w:val="0"/>
          <w:marTop w:val="70"/>
          <w:marBottom w:val="0"/>
          <w:divBdr>
            <w:top w:val="none" w:sz="0" w:space="0" w:color="auto"/>
            <w:left w:val="none" w:sz="0" w:space="0" w:color="auto"/>
            <w:bottom w:val="none" w:sz="0" w:space="0" w:color="auto"/>
            <w:right w:val="none" w:sz="0" w:space="0" w:color="auto"/>
          </w:divBdr>
        </w:div>
        <w:div w:id="52313648">
          <w:marLeft w:val="1526"/>
          <w:marRight w:val="0"/>
          <w:marTop w:val="70"/>
          <w:marBottom w:val="0"/>
          <w:divBdr>
            <w:top w:val="none" w:sz="0" w:space="0" w:color="auto"/>
            <w:left w:val="none" w:sz="0" w:space="0" w:color="auto"/>
            <w:bottom w:val="none" w:sz="0" w:space="0" w:color="auto"/>
            <w:right w:val="none" w:sz="0" w:space="0" w:color="auto"/>
          </w:divBdr>
        </w:div>
        <w:div w:id="2145191363">
          <w:marLeft w:val="965"/>
          <w:marRight w:val="0"/>
          <w:marTop w:val="65"/>
          <w:marBottom w:val="0"/>
          <w:divBdr>
            <w:top w:val="none" w:sz="0" w:space="0" w:color="auto"/>
            <w:left w:val="none" w:sz="0" w:space="0" w:color="auto"/>
            <w:bottom w:val="none" w:sz="0" w:space="0" w:color="auto"/>
            <w:right w:val="none" w:sz="0" w:space="0" w:color="auto"/>
          </w:divBdr>
        </w:div>
        <w:div w:id="651566571">
          <w:marLeft w:val="965"/>
          <w:marRight w:val="0"/>
          <w:marTop w:val="65"/>
          <w:marBottom w:val="0"/>
          <w:divBdr>
            <w:top w:val="none" w:sz="0" w:space="0" w:color="auto"/>
            <w:left w:val="none" w:sz="0" w:space="0" w:color="auto"/>
            <w:bottom w:val="none" w:sz="0" w:space="0" w:color="auto"/>
            <w:right w:val="none" w:sz="0" w:space="0" w:color="auto"/>
          </w:divBdr>
        </w:div>
      </w:divsChild>
    </w:div>
    <w:div w:id="1229268161">
      <w:bodyDiv w:val="1"/>
      <w:marLeft w:val="0"/>
      <w:marRight w:val="0"/>
      <w:marTop w:val="0"/>
      <w:marBottom w:val="0"/>
      <w:divBdr>
        <w:top w:val="none" w:sz="0" w:space="0" w:color="auto"/>
        <w:left w:val="none" w:sz="0" w:space="0" w:color="auto"/>
        <w:bottom w:val="none" w:sz="0" w:space="0" w:color="auto"/>
        <w:right w:val="none" w:sz="0" w:space="0" w:color="auto"/>
      </w:divBdr>
    </w:div>
    <w:div w:id="1535388734">
      <w:bodyDiv w:val="1"/>
      <w:marLeft w:val="0"/>
      <w:marRight w:val="0"/>
      <w:marTop w:val="0"/>
      <w:marBottom w:val="0"/>
      <w:divBdr>
        <w:top w:val="none" w:sz="0" w:space="0" w:color="auto"/>
        <w:left w:val="none" w:sz="0" w:space="0" w:color="auto"/>
        <w:bottom w:val="none" w:sz="0" w:space="0" w:color="auto"/>
        <w:right w:val="none" w:sz="0" w:space="0" w:color="auto"/>
      </w:divBdr>
    </w:div>
    <w:div w:id="1735545165">
      <w:bodyDiv w:val="1"/>
      <w:marLeft w:val="0"/>
      <w:marRight w:val="0"/>
      <w:marTop w:val="0"/>
      <w:marBottom w:val="0"/>
      <w:divBdr>
        <w:top w:val="none" w:sz="0" w:space="0" w:color="auto"/>
        <w:left w:val="none" w:sz="0" w:space="0" w:color="auto"/>
        <w:bottom w:val="none" w:sz="0" w:space="0" w:color="auto"/>
        <w:right w:val="none" w:sz="0" w:space="0" w:color="auto"/>
      </w:divBdr>
      <w:divsChild>
        <w:div w:id="10109587">
          <w:marLeft w:val="547"/>
          <w:marRight w:val="0"/>
          <w:marTop w:val="96"/>
          <w:marBottom w:val="0"/>
          <w:divBdr>
            <w:top w:val="none" w:sz="0" w:space="0" w:color="auto"/>
            <w:left w:val="none" w:sz="0" w:space="0" w:color="auto"/>
            <w:bottom w:val="none" w:sz="0" w:space="0" w:color="auto"/>
            <w:right w:val="none" w:sz="0" w:space="0" w:color="auto"/>
          </w:divBdr>
        </w:div>
        <w:div w:id="1238978261">
          <w:marLeft w:val="547"/>
          <w:marRight w:val="0"/>
          <w:marTop w:val="96"/>
          <w:marBottom w:val="0"/>
          <w:divBdr>
            <w:top w:val="none" w:sz="0" w:space="0" w:color="auto"/>
            <w:left w:val="none" w:sz="0" w:space="0" w:color="auto"/>
            <w:bottom w:val="none" w:sz="0" w:space="0" w:color="auto"/>
            <w:right w:val="none" w:sz="0" w:space="0" w:color="auto"/>
          </w:divBdr>
        </w:div>
      </w:divsChild>
    </w:div>
    <w:div w:id="1842503499">
      <w:bodyDiv w:val="1"/>
      <w:marLeft w:val="0"/>
      <w:marRight w:val="0"/>
      <w:marTop w:val="0"/>
      <w:marBottom w:val="0"/>
      <w:divBdr>
        <w:top w:val="none" w:sz="0" w:space="0" w:color="auto"/>
        <w:left w:val="none" w:sz="0" w:space="0" w:color="auto"/>
        <w:bottom w:val="none" w:sz="0" w:space="0" w:color="auto"/>
        <w:right w:val="none" w:sz="0" w:space="0" w:color="auto"/>
      </w:divBdr>
    </w:div>
    <w:div w:id="1954240198">
      <w:bodyDiv w:val="1"/>
      <w:marLeft w:val="0"/>
      <w:marRight w:val="0"/>
      <w:marTop w:val="0"/>
      <w:marBottom w:val="0"/>
      <w:divBdr>
        <w:top w:val="none" w:sz="0" w:space="0" w:color="auto"/>
        <w:left w:val="none" w:sz="0" w:space="0" w:color="auto"/>
        <w:bottom w:val="none" w:sz="0" w:space="0" w:color="auto"/>
        <w:right w:val="none" w:sz="0" w:space="0" w:color="auto"/>
      </w:divBdr>
      <w:divsChild>
        <w:div w:id="1528174507">
          <w:marLeft w:val="547"/>
          <w:marRight w:val="0"/>
          <w:marTop w:val="115"/>
          <w:marBottom w:val="0"/>
          <w:divBdr>
            <w:top w:val="none" w:sz="0" w:space="0" w:color="auto"/>
            <w:left w:val="none" w:sz="0" w:space="0" w:color="auto"/>
            <w:bottom w:val="none" w:sz="0" w:space="0" w:color="auto"/>
            <w:right w:val="none" w:sz="0" w:space="0" w:color="auto"/>
          </w:divBdr>
        </w:div>
        <w:div w:id="1771198350">
          <w:marLeft w:val="1166"/>
          <w:marRight w:val="0"/>
          <w:marTop w:val="96"/>
          <w:marBottom w:val="0"/>
          <w:divBdr>
            <w:top w:val="none" w:sz="0" w:space="0" w:color="auto"/>
            <w:left w:val="none" w:sz="0" w:space="0" w:color="auto"/>
            <w:bottom w:val="none" w:sz="0" w:space="0" w:color="auto"/>
            <w:right w:val="none" w:sz="0" w:space="0" w:color="auto"/>
          </w:divBdr>
        </w:div>
        <w:div w:id="808784776">
          <w:marLeft w:val="1166"/>
          <w:marRight w:val="0"/>
          <w:marTop w:val="96"/>
          <w:marBottom w:val="0"/>
          <w:divBdr>
            <w:top w:val="none" w:sz="0" w:space="0" w:color="auto"/>
            <w:left w:val="none" w:sz="0" w:space="0" w:color="auto"/>
            <w:bottom w:val="none" w:sz="0" w:space="0" w:color="auto"/>
            <w:right w:val="none" w:sz="0" w:space="0" w:color="auto"/>
          </w:divBdr>
        </w:div>
        <w:div w:id="2113892213">
          <w:marLeft w:val="547"/>
          <w:marRight w:val="0"/>
          <w:marTop w:val="115"/>
          <w:marBottom w:val="0"/>
          <w:divBdr>
            <w:top w:val="none" w:sz="0" w:space="0" w:color="auto"/>
            <w:left w:val="none" w:sz="0" w:space="0" w:color="auto"/>
            <w:bottom w:val="none" w:sz="0" w:space="0" w:color="auto"/>
            <w:right w:val="none" w:sz="0" w:space="0" w:color="auto"/>
          </w:divBdr>
        </w:div>
        <w:div w:id="447242996">
          <w:marLeft w:val="1166"/>
          <w:marRight w:val="0"/>
          <w:marTop w:val="96"/>
          <w:marBottom w:val="0"/>
          <w:divBdr>
            <w:top w:val="none" w:sz="0" w:space="0" w:color="auto"/>
            <w:left w:val="none" w:sz="0" w:space="0" w:color="auto"/>
            <w:bottom w:val="none" w:sz="0" w:space="0" w:color="auto"/>
            <w:right w:val="none" w:sz="0" w:space="0" w:color="auto"/>
          </w:divBdr>
        </w:div>
        <w:div w:id="196352740">
          <w:marLeft w:val="1166"/>
          <w:marRight w:val="0"/>
          <w:marTop w:val="96"/>
          <w:marBottom w:val="0"/>
          <w:divBdr>
            <w:top w:val="none" w:sz="0" w:space="0" w:color="auto"/>
            <w:left w:val="none" w:sz="0" w:space="0" w:color="auto"/>
            <w:bottom w:val="none" w:sz="0" w:space="0" w:color="auto"/>
            <w:right w:val="none" w:sz="0" w:space="0" w:color="auto"/>
          </w:divBdr>
        </w:div>
        <w:div w:id="620840196">
          <w:marLeft w:val="547"/>
          <w:marRight w:val="0"/>
          <w:marTop w:val="115"/>
          <w:marBottom w:val="0"/>
          <w:divBdr>
            <w:top w:val="none" w:sz="0" w:space="0" w:color="auto"/>
            <w:left w:val="none" w:sz="0" w:space="0" w:color="auto"/>
            <w:bottom w:val="none" w:sz="0" w:space="0" w:color="auto"/>
            <w:right w:val="none" w:sz="0" w:space="0" w:color="auto"/>
          </w:divBdr>
        </w:div>
        <w:div w:id="129177751">
          <w:marLeft w:val="1166"/>
          <w:marRight w:val="0"/>
          <w:marTop w:val="96"/>
          <w:marBottom w:val="0"/>
          <w:divBdr>
            <w:top w:val="none" w:sz="0" w:space="0" w:color="auto"/>
            <w:left w:val="none" w:sz="0" w:space="0" w:color="auto"/>
            <w:bottom w:val="none" w:sz="0" w:space="0" w:color="auto"/>
            <w:right w:val="none" w:sz="0" w:space="0" w:color="auto"/>
          </w:divBdr>
        </w:div>
        <w:div w:id="851529440">
          <w:marLeft w:val="1166"/>
          <w:marRight w:val="0"/>
          <w:marTop w:val="96"/>
          <w:marBottom w:val="0"/>
          <w:divBdr>
            <w:top w:val="none" w:sz="0" w:space="0" w:color="auto"/>
            <w:left w:val="none" w:sz="0" w:space="0" w:color="auto"/>
            <w:bottom w:val="none" w:sz="0" w:space="0" w:color="auto"/>
            <w:right w:val="none" w:sz="0" w:space="0" w:color="auto"/>
          </w:divBdr>
        </w:div>
      </w:divsChild>
    </w:div>
    <w:div w:id="2044551455">
      <w:bodyDiv w:val="1"/>
      <w:marLeft w:val="0"/>
      <w:marRight w:val="0"/>
      <w:marTop w:val="0"/>
      <w:marBottom w:val="0"/>
      <w:divBdr>
        <w:top w:val="none" w:sz="0" w:space="0" w:color="auto"/>
        <w:left w:val="none" w:sz="0" w:space="0" w:color="auto"/>
        <w:bottom w:val="none" w:sz="0" w:space="0" w:color="auto"/>
        <w:right w:val="none" w:sz="0" w:space="0" w:color="auto"/>
      </w:divBdr>
      <w:divsChild>
        <w:div w:id="1599606392">
          <w:marLeft w:val="994"/>
          <w:marRight w:val="0"/>
          <w:marTop w:val="96"/>
          <w:marBottom w:val="0"/>
          <w:divBdr>
            <w:top w:val="none" w:sz="0" w:space="0" w:color="auto"/>
            <w:left w:val="none" w:sz="0" w:space="0" w:color="auto"/>
            <w:bottom w:val="none" w:sz="0" w:space="0" w:color="auto"/>
            <w:right w:val="none" w:sz="0" w:space="0" w:color="auto"/>
          </w:divBdr>
        </w:div>
        <w:div w:id="1513640062">
          <w:marLeft w:val="1800"/>
          <w:marRight w:val="0"/>
          <w:marTop w:val="96"/>
          <w:marBottom w:val="0"/>
          <w:divBdr>
            <w:top w:val="none" w:sz="0" w:space="0" w:color="auto"/>
            <w:left w:val="none" w:sz="0" w:space="0" w:color="auto"/>
            <w:bottom w:val="none" w:sz="0" w:space="0" w:color="auto"/>
            <w:right w:val="none" w:sz="0" w:space="0" w:color="auto"/>
          </w:divBdr>
        </w:div>
        <w:div w:id="85854435">
          <w:marLeft w:val="1800"/>
          <w:marRight w:val="0"/>
          <w:marTop w:val="96"/>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jpg"/><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hyperlink" Target="http://www.omedit-paysdelaloire.fr/fr/parcours/conciliation/evaluation" TargetMode="External"/><Relationship Id="rId2" Type="http://schemas.openxmlformats.org/officeDocument/2006/relationships/numbering" Target="numbering.xml"/><Relationship Id="rId16" Type="http://schemas.openxmlformats.org/officeDocument/2006/relationships/hyperlink" Target="http://www.omedit-paysdelaloire.fr/fr/formation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www.omedit-paysdelaloire.fr/fr/securisation/scmsanitaire/informatisation/informatisation-du-circuit-du-medicament,370,46513.html" TargetMode="External"/><Relationship Id="rId10" Type="http://schemas.openxmlformats.org/officeDocument/2006/relationships/header" Target="head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4.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47E73E-E6D8-404A-942A-40599F64DA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19</Pages>
  <Words>5126</Words>
  <Characters>28199</Characters>
  <Application>Microsoft Office Word</Application>
  <DocSecurity>0</DocSecurity>
  <Lines>234</Lines>
  <Paragraphs>66</Paragraphs>
  <ScaleCrop>false</ScaleCrop>
  <HeadingPairs>
    <vt:vector size="2" baseType="variant">
      <vt:variant>
        <vt:lpstr>Titre</vt:lpstr>
      </vt:variant>
      <vt:variant>
        <vt:i4>1</vt:i4>
      </vt:variant>
    </vt:vector>
  </HeadingPairs>
  <TitlesOfParts>
    <vt:vector size="1" baseType="lpstr">
      <vt:lpstr/>
    </vt:vector>
  </TitlesOfParts>
  <Company>CHU de NANTES</Company>
  <LinksUpToDate>false</LinksUpToDate>
  <CharactersWithSpaces>33259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ROCHAIS Elise</dc:creator>
  <cp:lastModifiedBy>D ACREMONT Fanny</cp:lastModifiedBy>
  <cp:revision>12</cp:revision>
  <cp:lastPrinted>2019-01-14T17:18:00Z</cp:lastPrinted>
  <dcterms:created xsi:type="dcterms:W3CDTF">2018-09-18T08:48:00Z</dcterms:created>
  <dcterms:modified xsi:type="dcterms:W3CDTF">2019-01-14T17:19:00Z</dcterms:modified>
</cp:coreProperties>
</file>