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DE" w:rsidRPr="00FD0508" w:rsidRDefault="00FF34DE" w:rsidP="00FD0508">
      <w:pPr>
        <w:pStyle w:val="Titre2"/>
        <w:jc w:val="center"/>
        <w:rPr>
          <w:sz w:val="24"/>
          <w:u w:val="single"/>
        </w:rPr>
      </w:pPr>
      <w:r w:rsidRPr="00FD0508">
        <w:rPr>
          <w:rFonts w:asciiTheme="minorHAnsi" w:hAnsiTheme="minorHAnsi"/>
          <w:color w:val="034EA2"/>
          <w:sz w:val="40"/>
          <w:szCs w:val="28"/>
          <w:u w:val="single"/>
        </w:rPr>
        <w:t>Grille d’évaluation</w:t>
      </w:r>
    </w:p>
    <w:p w:rsidR="009979FD" w:rsidRPr="00FD0508" w:rsidRDefault="009979FD" w:rsidP="00FD0508">
      <w:pPr>
        <w:pStyle w:val="Default"/>
        <w:ind w:left="720"/>
        <w:jc w:val="both"/>
        <w:rPr>
          <w:rFonts w:asciiTheme="minorHAnsi" w:hAnsiTheme="minorHAnsi"/>
          <w:b/>
        </w:rPr>
      </w:pPr>
    </w:p>
    <w:p w:rsidR="009979FD" w:rsidRPr="00FD0508" w:rsidRDefault="009979FD" w:rsidP="00FD0508">
      <w:pPr>
        <w:pStyle w:val="Default"/>
        <w:jc w:val="both"/>
        <w:rPr>
          <w:rFonts w:asciiTheme="minorHAnsi" w:hAnsiTheme="minorHAnsi"/>
          <w:sz w:val="22"/>
        </w:rPr>
      </w:pPr>
      <w:r w:rsidRPr="00FD0508">
        <w:rPr>
          <w:rFonts w:asciiTheme="minorHAnsi" w:hAnsiTheme="minorHAnsi"/>
          <w:sz w:val="22"/>
        </w:rPr>
        <w:t xml:space="preserve">Date </w:t>
      </w:r>
      <w:r w:rsidR="00FF34DE" w:rsidRPr="00FD0508">
        <w:rPr>
          <w:rFonts w:asciiTheme="minorHAnsi" w:hAnsiTheme="minorHAnsi"/>
          <w:sz w:val="22"/>
        </w:rPr>
        <w:t xml:space="preserve">de </w:t>
      </w:r>
      <w:r w:rsidR="00E93589" w:rsidRPr="00FD0508">
        <w:rPr>
          <w:rFonts w:asciiTheme="minorHAnsi" w:hAnsiTheme="minorHAnsi"/>
          <w:sz w:val="22"/>
        </w:rPr>
        <w:t>début d’hospitalisation</w:t>
      </w:r>
      <w:r w:rsidRPr="00FD0508">
        <w:rPr>
          <w:rFonts w:asciiTheme="minorHAnsi" w:hAnsiTheme="minorHAnsi"/>
          <w:sz w:val="22"/>
        </w:rPr>
        <w:t> :</w:t>
      </w:r>
      <w:r w:rsidR="00FF34DE" w:rsidRPr="00FD0508"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sz w:val="22"/>
          </w:rPr>
          <w:id w:val="1123728749"/>
          <w:placeholder>
            <w:docPart w:val="DefaultPlaceholder_1082065158"/>
          </w:placeholder>
          <w:showingPlcHdr/>
        </w:sdtPr>
        <w:sdtContent>
          <w:r w:rsidR="00FF34DE" w:rsidRPr="00FD0508">
            <w:rPr>
              <w:rStyle w:val="Textedelespacerserv"/>
            </w:rPr>
            <w:t>Cliquez ici pour taper du texte.</w:t>
          </w:r>
        </w:sdtContent>
      </w:sdt>
    </w:p>
    <w:p w:rsidR="00431086" w:rsidRPr="00FD0508" w:rsidRDefault="00FF34DE" w:rsidP="00FD0508">
      <w:pPr>
        <w:pStyle w:val="Default"/>
        <w:jc w:val="both"/>
        <w:rPr>
          <w:rFonts w:asciiTheme="minorHAnsi" w:hAnsiTheme="minorHAnsi"/>
          <w:sz w:val="22"/>
        </w:rPr>
      </w:pPr>
      <w:r w:rsidRPr="00FD0508">
        <w:rPr>
          <w:rFonts w:asciiTheme="minorHAnsi" w:hAnsiTheme="minorHAnsi"/>
          <w:sz w:val="22"/>
        </w:rPr>
        <w:t>Date de l’ordonnance</w:t>
      </w:r>
      <w:r w:rsidR="00E93589" w:rsidRPr="00FD0508">
        <w:rPr>
          <w:rFonts w:asciiTheme="minorHAnsi" w:hAnsiTheme="minorHAnsi"/>
          <w:sz w:val="22"/>
        </w:rPr>
        <w:t xml:space="preserve"> analysée</w:t>
      </w:r>
      <w:r w:rsidR="00656A4B" w:rsidRPr="00FD0508">
        <w:rPr>
          <w:rFonts w:asciiTheme="minorHAnsi" w:hAnsiTheme="minorHAnsi"/>
          <w:sz w:val="22"/>
        </w:rPr>
        <w:t> :</w:t>
      </w:r>
      <w:r w:rsidRPr="00FD0508"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sz w:val="22"/>
          </w:rPr>
          <w:id w:val="-707954527"/>
          <w:placeholder>
            <w:docPart w:val="DefaultPlaceholder_1082065158"/>
          </w:placeholder>
          <w:showingPlcHdr/>
        </w:sdtPr>
        <w:sdtContent>
          <w:r w:rsidRPr="00FD0508">
            <w:rPr>
              <w:rStyle w:val="Textedelespacerserv"/>
            </w:rPr>
            <w:t>Cliquez ici pour taper du texte.</w:t>
          </w:r>
        </w:sdtContent>
      </w:sdt>
    </w:p>
    <w:p w:rsidR="00656A4B" w:rsidRPr="00FD0508" w:rsidRDefault="00656A4B" w:rsidP="00FD0508">
      <w:pPr>
        <w:pStyle w:val="Default"/>
        <w:jc w:val="both"/>
        <w:rPr>
          <w:rFonts w:asciiTheme="minorHAnsi" w:hAnsiTheme="minorHAnsi"/>
        </w:rPr>
      </w:pPr>
    </w:p>
    <w:tbl>
      <w:tblPr>
        <w:tblW w:w="105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9"/>
        <w:gridCol w:w="2884"/>
      </w:tblGrid>
      <w:tr w:rsidR="00D57237" w:rsidRPr="00FD0508" w:rsidTr="0019326B">
        <w:trPr>
          <w:trHeight w:val="477"/>
        </w:trPr>
        <w:tc>
          <w:tcPr>
            <w:tcW w:w="10503" w:type="dxa"/>
            <w:gridSpan w:val="2"/>
            <w:shd w:val="clear" w:color="auto" w:fill="D9D9D9"/>
            <w:vAlign w:val="center"/>
          </w:tcPr>
          <w:p w:rsidR="00D57237" w:rsidRPr="00FD0508" w:rsidRDefault="00D57237" w:rsidP="00FD0508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Informations relatives au patient</w:t>
            </w:r>
          </w:p>
        </w:tc>
      </w:tr>
      <w:tr w:rsidR="00D57237" w:rsidRPr="00FD0508" w:rsidTr="0019326B">
        <w:trPr>
          <w:trHeight w:val="477"/>
        </w:trPr>
        <w:tc>
          <w:tcPr>
            <w:tcW w:w="10503" w:type="dxa"/>
            <w:gridSpan w:val="2"/>
            <w:shd w:val="clear" w:color="auto" w:fill="FFFFFF"/>
          </w:tcPr>
          <w:p w:rsidR="00E93589" w:rsidRPr="00FD0508" w:rsidRDefault="00E93589" w:rsidP="00FD0508">
            <w:pPr>
              <w:pStyle w:val="Default"/>
              <w:tabs>
                <w:tab w:val="left" w:pos="6750"/>
                <w:tab w:val="left" w:pos="7050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93589" w:rsidRPr="00FD0508" w:rsidRDefault="00E93589" w:rsidP="00FD0508">
            <w:pPr>
              <w:pStyle w:val="Default"/>
              <w:tabs>
                <w:tab w:val="left" w:pos="6750"/>
                <w:tab w:val="left" w:pos="7050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 xml:space="preserve">Age :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389990545"/>
                <w:placeholder>
                  <w:docPart w:val="C02BF16233734C578FB1174A7362CAC6"/>
                </w:placeholder>
                <w:showingPlcHdr/>
              </w:sdtPr>
              <w:sdtContent>
                <w:r w:rsidRPr="00FD0508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D57237" w:rsidRPr="00FD0508" w:rsidRDefault="0019326B" w:rsidP="00FD0508">
            <w:pPr>
              <w:pStyle w:val="Default"/>
              <w:tabs>
                <w:tab w:val="left" w:pos="6750"/>
                <w:tab w:val="left" w:pos="705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  <w:p w:rsidR="00101B75" w:rsidRPr="00FD0508" w:rsidRDefault="00101B75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Patient polypathologique</w:t>
            </w:r>
            <w:r w:rsidR="00FE7B37" w:rsidRPr="00FD0508">
              <w:rPr>
                <w:rFonts w:asciiTheme="minorHAnsi" w:hAnsiTheme="minorHAnsi"/>
                <w:b/>
                <w:sz w:val="22"/>
                <w:szCs w:val="22"/>
              </w:rPr>
              <w:t xml:space="preserve"> (≥ 3 pathologies chroniques)</w:t>
            </w: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 xml:space="preserve"> : </w:t>
            </w:r>
            <w:r w:rsidRPr="00FD0508">
              <w:rPr>
                <w:rFonts w:asciiTheme="minorHAnsi" w:hAnsiTheme="minorHAnsi"/>
                <w:sz w:val="22"/>
                <w:szCs w:val="22"/>
              </w:rPr>
              <w:t>oui</w:t>
            </w: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97473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26B" w:rsidRPr="00FD050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FD0508">
              <w:rPr>
                <w:rFonts w:asciiTheme="minorHAnsi" w:hAnsiTheme="minorHAnsi"/>
                <w:sz w:val="22"/>
                <w:szCs w:val="22"/>
              </w:rPr>
              <w:t xml:space="preserve"> non</w:t>
            </w: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8140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26B" w:rsidRPr="00FD050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:rsidR="00101B75" w:rsidRPr="00FD0508" w:rsidRDefault="00101B75" w:rsidP="00FD0508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93589" w:rsidRPr="00FD0508" w:rsidRDefault="00E93589" w:rsidP="00FD0508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 xml:space="preserve">Sexe : H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65419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50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FD05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 xml:space="preserve">F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81009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50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FD0508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</w:t>
            </w:r>
          </w:p>
          <w:p w:rsidR="00E93589" w:rsidRPr="00FD0508" w:rsidRDefault="00E93589" w:rsidP="00FD0508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01B75" w:rsidRPr="00FD0508" w:rsidRDefault="00101B75" w:rsidP="00FD0508">
            <w:pPr>
              <w:pStyle w:val="Default"/>
              <w:tabs>
                <w:tab w:val="left" w:pos="894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>Présence d’une hyponatrémie</w:t>
            </w:r>
            <w:r w:rsidR="0019326B" w:rsidRPr="00FD0508">
              <w:rPr>
                <w:rFonts w:asciiTheme="minorHAnsi" w:hAnsiTheme="minorHAnsi"/>
                <w:sz w:val="22"/>
                <w:szCs w:val="22"/>
              </w:rPr>
              <w:t xml:space="preserve"> concomitante ou récente (≤ 1 mois</w:t>
            </w:r>
            <w:r w:rsidR="00E93589" w:rsidRPr="00FD0508">
              <w:rPr>
                <w:rFonts w:asciiTheme="minorHAnsi" w:hAnsiTheme="minorHAnsi"/>
                <w:sz w:val="22"/>
                <w:szCs w:val="22"/>
              </w:rPr>
              <w:t>*</w:t>
            </w:r>
            <w:r w:rsidR="0019326B" w:rsidRPr="00FD0508">
              <w:rPr>
                <w:rFonts w:asciiTheme="minorHAnsi" w:hAnsiTheme="minorHAnsi"/>
                <w:sz w:val="22"/>
                <w:szCs w:val="22"/>
              </w:rPr>
              <w:t>)</w:t>
            </w:r>
            <w:r w:rsidRPr="00FD0508">
              <w:rPr>
                <w:rFonts w:asciiTheme="minorHAnsi" w:hAnsiTheme="minorHAnsi"/>
                <w:sz w:val="22"/>
                <w:szCs w:val="22"/>
              </w:rPr>
              <w:t xml:space="preserve"> : oui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659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26B"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D0508">
              <w:rPr>
                <w:rFonts w:asciiTheme="minorHAnsi" w:hAnsiTheme="minorHAnsi"/>
                <w:sz w:val="22"/>
                <w:szCs w:val="22"/>
              </w:rPr>
              <w:t xml:space="preserve"> non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0542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26B"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93589" w:rsidRPr="00FD0508">
              <w:rPr>
                <w:rFonts w:asciiTheme="minorHAnsi" w:hAnsiTheme="minorHAnsi"/>
                <w:sz w:val="22"/>
                <w:szCs w:val="22"/>
              </w:rPr>
              <w:t xml:space="preserve"> NR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3665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589"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E431DB" w:rsidRPr="00FD0508" w:rsidRDefault="00E431DB" w:rsidP="00FD0508">
            <w:pPr>
              <w:spacing w:after="0"/>
              <w:rPr>
                <w:i/>
                <w:sz w:val="20"/>
              </w:rPr>
            </w:pPr>
            <w:r w:rsidRPr="00FD0508">
              <w:rPr>
                <w:i/>
                <w:sz w:val="20"/>
              </w:rPr>
              <w:t>*par rapport à la date de l’ordonnance analysée</w:t>
            </w:r>
          </w:p>
          <w:p w:rsidR="00DC7393" w:rsidRPr="00FD0508" w:rsidRDefault="00DC7393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F04943" w:rsidRPr="00FD0508" w:rsidRDefault="00101B75" w:rsidP="00FD0508">
            <w:pPr>
              <w:pStyle w:val="Default"/>
              <w:tabs>
                <w:tab w:val="left" w:pos="894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 xml:space="preserve">Présence </w:t>
            </w:r>
            <w:r w:rsidR="00E431DB" w:rsidRPr="00FD0508">
              <w:rPr>
                <w:rFonts w:asciiTheme="minorHAnsi" w:hAnsiTheme="minorHAnsi"/>
                <w:sz w:val="22"/>
                <w:szCs w:val="22"/>
              </w:rPr>
              <w:t>d’une maladie de Parkinson</w:t>
            </w:r>
            <w:r w:rsidRPr="00FD0508">
              <w:rPr>
                <w:rFonts w:asciiTheme="minorHAnsi" w:hAnsiTheme="minorHAnsi"/>
                <w:sz w:val="22"/>
                <w:szCs w:val="22"/>
              </w:rPr>
              <w:t xml:space="preserve"> ou d’une démence à corps de Lewy : </w:t>
            </w:r>
            <w:r w:rsidR="00F04943" w:rsidRPr="00FD0508">
              <w:rPr>
                <w:rFonts w:asciiTheme="minorHAnsi" w:hAnsi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5084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943"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4943" w:rsidRPr="00FD0508">
              <w:rPr>
                <w:rFonts w:asciiTheme="minorHAnsi" w:hAnsiTheme="minorHAnsi"/>
                <w:sz w:val="22"/>
                <w:szCs w:val="22"/>
              </w:rPr>
              <w:t xml:space="preserve"> non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3778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943"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4943" w:rsidRPr="00FD0508">
              <w:rPr>
                <w:rFonts w:asciiTheme="minorHAnsi" w:hAnsiTheme="minorHAnsi"/>
                <w:sz w:val="22"/>
                <w:szCs w:val="22"/>
              </w:rPr>
              <w:t xml:space="preserve"> NR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266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943"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C739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04943" w:rsidRPr="00FD0508" w:rsidRDefault="00101B75" w:rsidP="00FD0508">
            <w:pPr>
              <w:pStyle w:val="Default"/>
              <w:tabs>
                <w:tab w:val="left" w:pos="894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>Présence d’une</w:t>
            </w:r>
            <w:r w:rsidRPr="00FD0508">
              <w:t xml:space="preserve"> </w:t>
            </w:r>
            <w:r w:rsidRPr="00FD0508">
              <w:rPr>
                <w:rFonts w:asciiTheme="minorHAnsi" w:hAnsiTheme="minorHAnsi"/>
                <w:sz w:val="22"/>
                <w:szCs w:val="22"/>
              </w:rPr>
              <w:t>insuffisance respiratoire aiguë</w:t>
            </w:r>
            <w:r w:rsidR="00E93589" w:rsidRPr="00FD0508">
              <w:rPr>
                <w:rFonts w:asciiTheme="minorHAnsi" w:hAnsiTheme="minorHAnsi"/>
                <w:sz w:val="22"/>
                <w:szCs w:val="22"/>
              </w:rPr>
              <w:t>*</w:t>
            </w:r>
            <w:r w:rsidRPr="00FD0508">
              <w:rPr>
                <w:rFonts w:asciiTheme="minorHAnsi" w:hAnsiTheme="minorHAnsi"/>
                <w:sz w:val="22"/>
                <w:szCs w:val="22"/>
              </w:rPr>
              <w:t xml:space="preserve"> ou chronique : </w:t>
            </w:r>
            <w:r w:rsidR="00F04943" w:rsidRPr="00FD0508">
              <w:rPr>
                <w:rFonts w:asciiTheme="minorHAnsi" w:hAnsi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5451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943"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4943" w:rsidRPr="00FD0508">
              <w:rPr>
                <w:rFonts w:asciiTheme="minorHAnsi" w:hAnsiTheme="minorHAnsi"/>
                <w:sz w:val="22"/>
                <w:szCs w:val="22"/>
              </w:rPr>
              <w:t xml:space="preserve"> non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6074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943"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4943" w:rsidRPr="00FD0508">
              <w:rPr>
                <w:rFonts w:asciiTheme="minorHAnsi" w:hAnsiTheme="minorHAnsi"/>
                <w:sz w:val="22"/>
                <w:szCs w:val="22"/>
              </w:rPr>
              <w:t xml:space="preserve"> NR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5718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943"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19326B" w:rsidRPr="00FD0508" w:rsidRDefault="0019326B" w:rsidP="00FD0508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D0508">
              <w:rPr>
                <w:rFonts w:asciiTheme="minorHAnsi" w:hAnsiTheme="minorHAnsi"/>
                <w:i/>
                <w:color w:val="auto"/>
                <w:sz w:val="18"/>
                <w:szCs w:val="20"/>
              </w:rPr>
              <w:t>(pO</w:t>
            </w:r>
            <w:r w:rsidRPr="00FD0508">
              <w:rPr>
                <w:rFonts w:asciiTheme="minorHAnsi" w:hAnsiTheme="minorHAnsi"/>
                <w:i/>
                <w:color w:val="auto"/>
                <w:sz w:val="18"/>
                <w:szCs w:val="20"/>
                <w:vertAlign w:val="subscript"/>
              </w:rPr>
              <w:t>2</w:t>
            </w:r>
            <w:r w:rsidRPr="00FD0508">
              <w:rPr>
                <w:rFonts w:asciiTheme="minorHAnsi" w:hAnsiTheme="minorHAnsi"/>
                <w:i/>
                <w:color w:val="auto"/>
                <w:sz w:val="18"/>
                <w:szCs w:val="20"/>
              </w:rPr>
              <w:t xml:space="preserve"> &lt; 60 mmHg ou SaO</w:t>
            </w:r>
            <w:r w:rsidRPr="00FD0508">
              <w:rPr>
                <w:rFonts w:asciiTheme="minorHAnsi" w:hAnsiTheme="minorHAnsi"/>
                <w:i/>
                <w:color w:val="auto"/>
                <w:sz w:val="18"/>
                <w:szCs w:val="20"/>
                <w:vertAlign w:val="subscript"/>
              </w:rPr>
              <w:t>2</w:t>
            </w:r>
            <w:r w:rsidRPr="00FD0508">
              <w:rPr>
                <w:rFonts w:asciiTheme="minorHAnsi" w:hAnsiTheme="minorHAnsi"/>
                <w:i/>
                <w:color w:val="auto"/>
                <w:sz w:val="18"/>
                <w:szCs w:val="20"/>
              </w:rPr>
              <w:t xml:space="preserve"> &lt; 89% ou &lt; 8,0 kPa ou/et pCO</w:t>
            </w:r>
            <w:r w:rsidRPr="00FD0508">
              <w:rPr>
                <w:rFonts w:asciiTheme="minorHAnsi" w:hAnsiTheme="minorHAnsi"/>
                <w:i/>
                <w:color w:val="auto"/>
                <w:sz w:val="18"/>
                <w:szCs w:val="20"/>
                <w:vertAlign w:val="subscript"/>
              </w:rPr>
              <w:t>2</w:t>
            </w:r>
            <w:r w:rsidRPr="00FD0508">
              <w:rPr>
                <w:rFonts w:asciiTheme="minorHAnsi" w:hAnsiTheme="minorHAnsi"/>
                <w:i/>
                <w:color w:val="auto"/>
                <w:sz w:val="18"/>
                <w:szCs w:val="20"/>
              </w:rPr>
              <w:t xml:space="preserve"> &gt; 6,5 kPa ou &gt; 50 mmHg)</w:t>
            </w:r>
          </w:p>
          <w:p w:rsidR="00E431DB" w:rsidRPr="00FD0508" w:rsidRDefault="00E431DB" w:rsidP="00FD0508">
            <w:pPr>
              <w:spacing w:after="0"/>
              <w:rPr>
                <w:i/>
                <w:sz w:val="20"/>
              </w:rPr>
            </w:pPr>
            <w:r w:rsidRPr="00FD0508">
              <w:rPr>
                <w:i/>
                <w:sz w:val="20"/>
              </w:rPr>
              <w:t>*par rapport à la date de l’ordonnance analysée</w:t>
            </w:r>
          </w:p>
          <w:p w:rsidR="00DC7393" w:rsidRPr="00FD0508" w:rsidRDefault="00DC7393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F04943" w:rsidRPr="00FD0508" w:rsidRDefault="00101B75" w:rsidP="00FD0508">
            <w:pPr>
              <w:pStyle w:val="Default"/>
              <w:tabs>
                <w:tab w:val="left" w:pos="894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>Présence</w:t>
            </w:r>
            <w:r w:rsidRPr="00FD0508">
              <w:t xml:space="preserve"> </w:t>
            </w:r>
            <w:r w:rsidR="0019326B" w:rsidRPr="00FD0508">
              <w:rPr>
                <w:rFonts w:asciiTheme="minorHAnsi" w:hAnsiTheme="minorHAnsi"/>
                <w:sz w:val="22"/>
                <w:szCs w:val="22"/>
              </w:rPr>
              <w:t>d’une démence et/ou d’</w:t>
            </w:r>
            <w:r w:rsidRPr="00FD0508">
              <w:rPr>
                <w:rFonts w:asciiTheme="minorHAnsi" w:hAnsiTheme="minorHAnsi"/>
                <w:sz w:val="22"/>
                <w:szCs w:val="22"/>
              </w:rPr>
              <w:t xml:space="preserve">un syndrome confusionnel : </w:t>
            </w:r>
            <w:r w:rsidR="00F04943" w:rsidRPr="00FD0508">
              <w:rPr>
                <w:rFonts w:asciiTheme="minorHAnsi" w:hAnsi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3649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943"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4943" w:rsidRPr="00FD0508">
              <w:rPr>
                <w:rFonts w:asciiTheme="minorHAnsi" w:hAnsiTheme="minorHAnsi"/>
                <w:sz w:val="22"/>
                <w:szCs w:val="22"/>
              </w:rPr>
              <w:t xml:space="preserve"> non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1225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943"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4943" w:rsidRPr="00FD0508">
              <w:rPr>
                <w:rFonts w:asciiTheme="minorHAnsi" w:hAnsiTheme="minorHAnsi"/>
                <w:sz w:val="22"/>
                <w:szCs w:val="22"/>
              </w:rPr>
              <w:t xml:space="preserve"> NR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9052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943"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57237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3F2D91" w:rsidRPr="00FD0508" w:rsidTr="0019326B">
        <w:trPr>
          <w:trHeight w:val="477"/>
        </w:trPr>
        <w:tc>
          <w:tcPr>
            <w:tcW w:w="7619" w:type="dxa"/>
            <w:shd w:val="clear" w:color="auto" w:fill="D9D9D9"/>
            <w:vAlign w:val="center"/>
          </w:tcPr>
          <w:p w:rsidR="003F2D91" w:rsidRPr="00FD0508" w:rsidRDefault="003F2D91" w:rsidP="00FD0508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 xml:space="preserve">Critère 1 : Nombre de </w:t>
            </w:r>
            <w:r w:rsidR="00287109" w:rsidRPr="00FD050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m</w:t>
            </w:r>
            <w:r w:rsidR="009C250F" w:rsidRPr="00FD050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olécule</w:t>
            </w:r>
            <w:r w:rsidR="00287109" w:rsidRPr="00FD050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</w:t>
            </w: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C250F" w:rsidRPr="00FD0508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rescrit</w:t>
            </w:r>
            <w:r w:rsidR="009C250F" w:rsidRPr="00FD0508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DC7393" w:rsidRPr="00FD0508"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  <w:p w:rsidR="00E431DB" w:rsidRPr="00FD0508" w:rsidRDefault="00E431DB" w:rsidP="00FD0508">
            <w:pPr>
              <w:pStyle w:val="Default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E431DB" w:rsidRPr="00FD0508" w:rsidRDefault="00E431DB" w:rsidP="00FD0508">
            <w:pPr>
              <w:pStyle w:val="Default"/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 w:rsidRPr="00FD0508">
              <w:rPr>
                <w:rFonts w:asciiTheme="minorHAnsi" w:hAnsiTheme="minorHAnsi"/>
                <w:b/>
                <w:i/>
                <w:sz w:val="20"/>
                <w:szCs w:val="22"/>
              </w:rPr>
              <w:t>NB :</w:t>
            </w:r>
          </w:p>
          <w:p w:rsidR="00E431DB" w:rsidRPr="00FD0508" w:rsidRDefault="00E431DB" w:rsidP="00FD0508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/>
                <w:i/>
                <w:sz w:val="20"/>
                <w:szCs w:val="22"/>
              </w:rPr>
            </w:pPr>
            <w:r w:rsidRPr="00FD0508">
              <w:rPr>
                <w:rFonts w:asciiTheme="minorHAnsi" w:hAnsiTheme="minorHAnsi"/>
                <w:i/>
                <w:sz w:val="20"/>
                <w:szCs w:val="22"/>
              </w:rPr>
              <w:t>Compter « 1 » par DCI même si plusieurs voies d’administration sont prescrites (ex : VO et IV en si besoin)</w:t>
            </w:r>
          </w:p>
          <w:p w:rsidR="00E431DB" w:rsidRPr="00FD0508" w:rsidRDefault="00E431DB" w:rsidP="00FD0508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FD0508">
              <w:rPr>
                <w:rFonts w:asciiTheme="minorHAnsi" w:hAnsiTheme="minorHAnsi"/>
                <w:i/>
                <w:sz w:val="20"/>
                <w:szCs w:val="22"/>
              </w:rPr>
              <w:t>Compter les molécules prescrites en « si besoin »</w:t>
            </w:r>
          </w:p>
        </w:tc>
        <w:tc>
          <w:tcPr>
            <w:tcW w:w="2884" w:type="dxa"/>
            <w:shd w:val="clear" w:color="auto" w:fill="D9D9D9" w:themeFill="background1" w:themeFillShade="D9"/>
            <w:vAlign w:val="center"/>
          </w:tcPr>
          <w:p w:rsidR="003F2D91" w:rsidRPr="00FD0508" w:rsidRDefault="003F2D91" w:rsidP="00FD0508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C2735" w:rsidRPr="00FD0508" w:rsidTr="0019326B">
        <w:trPr>
          <w:trHeight w:val="562"/>
        </w:trPr>
        <w:tc>
          <w:tcPr>
            <w:tcW w:w="7619" w:type="dxa"/>
            <w:shd w:val="clear" w:color="auto" w:fill="FFFFFF"/>
            <w:vAlign w:val="center"/>
          </w:tcPr>
          <w:p w:rsidR="005C2735" w:rsidRPr="00FD0508" w:rsidRDefault="00B864D5" w:rsidP="00FD0508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 xml:space="preserve">1.1 - </w:t>
            </w:r>
            <w:r w:rsidR="005C2735" w:rsidRPr="00FD0508">
              <w:rPr>
                <w:rFonts w:asciiTheme="minorHAnsi" w:hAnsiTheme="minorHAnsi"/>
                <w:sz w:val="22"/>
                <w:szCs w:val="22"/>
              </w:rPr>
              <w:t xml:space="preserve">Nombre de </w:t>
            </w:r>
            <w:r w:rsidR="00101B75" w:rsidRPr="00FD0508">
              <w:rPr>
                <w:rFonts w:asciiTheme="minorHAnsi" w:hAnsiTheme="minorHAnsi"/>
                <w:sz w:val="22"/>
                <w:szCs w:val="22"/>
              </w:rPr>
              <w:t>molécules prescrites</w:t>
            </w:r>
            <w:r w:rsidR="005C2735" w:rsidRPr="00FD05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C2735" w:rsidRPr="00FD0508">
              <w:rPr>
                <w:rFonts w:asciiTheme="minorHAnsi" w:hAnsiTheme="minorHAnsi"/>
                <w:b/>
                <w:sz w:val="22"/>
                <w:szCs w:val="22"/>
              </w:rPr>
              <w:t>toutes classes confondues</w:t>
            </w:r>
            <w:r w:rsidR="00F04943" w:rsidRPr="00FD050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04943" w:rsidRPr="00FD0508">
              <w:rPr>
                <w:rFonts w:asciiTheme="minorHAnsi" w:hAnsiTheme="minorHAnsi"/>
                <w:sz w:val="22"/>
                <w:szCs w:val="22"/>
              </w:rPr>
              <w:t>(hors topiques à usage local)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323707899"/>
            <w:placeholder>
              <w:docPart w:val="DefaultPlaceholder_1082065158"/>
            </w:placeholder>
            <w:showingPlcHdr/>
          </w:sdtPr>
          <w:sdtContent>
            <w:tc>
              <w:tcPr>
                <w:tcW w:w="2884" w:type="dxa"/>
                <w:shd w:val="clear" w:color="auto" w:fill="FFFFFF"/>
                <w:vAlign w:val="center"/>
              </w:tcPr>
              <w:p w:rsidR="005C2735" w:rsidRPr="00FD0508" w:rsidRDefault="0019326B" w:rsidP="00FD0508">
                <w:pPr>
                  <w:pStyle w:val="Default"/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D050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01B75" w:rsidRPr="00FD0508" w:rsidTr="0019326B">
        <w:trPr>
          <w:trHeight w:val="559"/>
        </w:trPr>
        <w:tc>
          <w:tcPr>
            <w:tcW w:w="7619" w:type="dxa"/>
            <w:shd w:val="clear" w:color="auto" w:fill="FFFFFF"/>
            <w:vAlign w:val="center"/>
          </w:tcPr>
          <w:p w:rsidR="00101B75" w:rsidRPr="00FD0508" w:rsidRDefault="00B864D5" w:rsidP="00FD0508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>1.2</w:t>
            </w:r>
            <w:r w:rsidR="001C4278" w:rsidRPr="00FD05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D0508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101B75" w:rsidRPr="00FD0508">
              <w:rPr>
                <w:rFonts w:asciiTheme="minorHAnsi" w:hAnsiTheme="minorHAnsi"/>
                <w:sz w:val="22"/>
                <w:szCs w:val="22"/>
              </w:rPr>
              <w:t>Nombre d’antidépresseurs</w:t>
            </w:r>
            <w:r w:rsidR="0019326B" w:rsidRPr="00FD05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9326B" w:rsidRPr="00FD0508">
              <w:rPr>
                <w:rFonts w:asciiTheme="minorHAnsi" w:hAnsiTheme="minorHAnsi"/>
                <w:i/>
                <w:sz w:val="20"/>
                <w:szCs w:val="22"/>
              </w:rPr>
              <w:t>(cf. liste en annexe)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-407536094"/>
            <w:placeholder>
              <w:docPart w:val="DefaultPlaceholder_1082065158"/>
            </w:placeholder>
            <w:showingPlcHdr/>
          </w:sdtPr>
          <w:sdtContent>
            <w:tc>
              <w:tcPr>
                <w:tcW w:w="2884" w:type="dxa"/>
                <w:shd w:val="clear" w:color="auto" w:fill="FFFFFF"/>
                <w:vAlign w:val="center"/>
              </w:tcPr>
              <w:p w:rsidR="00101B75" w:rsidRPr="00FD0508" w:rsidRDefault="0019326B" w:rsidP="00FD0508">
                <w:pPr>
                  <w:pStyle w:val="Default"/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D050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01B75" w:rsidRPr="00FD0508" w:rsidTr="0019326B">
        <w:trPr>
          <w:trHeight w:val="559"/>
        </w:trPr>
        <w:tc>
          <w:tcPr>
            <w:tcW w:w="7619" w:type="dxa"/>
            <w:shd w:val="clear" w:color="auto" w:fill="FFFFFF"/>
            <w:vAlign w:val="center"/>
          </w:tcPr>
          <w:p w:rsidR="00101B75" w:rsidRPr="00FD0508" w:rsidRDefault="00B864D5" w:rsidP="00FD0508">
            <w:pPr>
              <w:pStyle w:val="Default"/>
              <w:numPr>
                <w:ilvl w:val="1"/>
                <w:numId w:val="17"/>
              </w:num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101B75" w:rsidRPr="00FD0508">
              <w:rPr>
                <w:rFonts w:asciiTheme="minorHAnsi" w:hAnsiTheme="minorHAnsi"/>
                <w:sz w:val="22"/>
                <w:szCs w:val="22"/>
              </w:rPr>
              <w:t>Nombre de neuroleptiques classiques</w:t>
            </w:r>
            <w:r w:rsidR="0019326B" w:rsidRPr="00FD05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9326B" w:rsidRPr="00FD0508">
              <w:rPr>
                <w:rFonts w:asciiTheme="minorHAnsi" w:hAnsiTheme="minorHAnsi"/>
                <w:i/>
                <w:sz w:val="20"/>
                <w:szCs w:val="22"/>
              </w:rPr>
              <w:t>(cf. liste en annexe)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679096840"/>
            <w:placeholder>
              <w:docPart w:val="DefaultPlaceholder_1082065158"/>
            </w:placeholder>
            <w:showingPlcHdr/>
          </w:sdtPr>
          <w:sdtContent>
            <w:tc>
              <w:tcPr>
                <w:tcW w:w="2884" w:type="dxa"/>
                <w:shd w:val="clear" w:color="auto" w:fill="FFFFFF"/>
                <w:vAlign w:val="center"/>
              </w:tcPr>
              <w:p w:rsidR="00101B75" w:rsidRPr="00FD0508" w:rsidRDefault="0019326B" w:rsidP="00FD0508">
                <w:pPr>
                  <w:pStyle w:val="Default"/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D050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01B75" w:rsidRPr="00FD0508" w:rsidTr="0019326B">
        <w:trPr>
          <w:trHeight w:val="559"/>
        </w:trPr>
        <w:tc>
          <w:tcPr>
            <w:tcW w:w="7619" w:type="dxa"/>
            <w:shd w:val="clear" w:color="auto" w:fill="FFFFFF"/>
            <w:vAlign w:val="center"/>
          </w:tcPr>
          <w:p w:rsidR="00101B75" w:rsidRPr="00FD0508" w:rsidRDefault="00B864D5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 xml:space="preserve">1.4 - </w:t>
            </w:r>
            <w:r w:rsidR="00101B75" w:rsidRPr="00FD0508">
              <w:rPr>
                <w:rFonts w:asciiTheme="minorHAnsi" w:hAnsiTheme="minorHAnsi"/>
                <w:sz w:val="22"/>
                <w:szCs w:val="22"/>
              </w:rPr>
              <w:t>Nombre de neuroleptiques atypiques</w:t>
            </w:r>
            <w:r w:rsidR="0019326B" w:rsidRPr="00FD05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9326B" w:rsidRPr="00FD0508">
              <w:rPr>
                <w:rFonts w:asciiTheme="minorHAnsi" w:hAnsiTheme="minorHAnsi"/>
                <w:i/>
                <w:sz w:val="20"/>
                <w:szCs w:val="22"/>
              </w:rPr>
              <w:t>(cf. liste en annexe)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-1628000212"/>
            <w:placeholder>
              <w:docPart w:val="DefaultPlaceholder_1082065158"/>
            </w:placeholder>
            <w:showingPlcHdr/>
          </w:sdtPr>
          <w:sdtContent>
            <w:tc>
              <w:tcPr>
                <w:tcW w:w="2884" w:type="dxa"/>
                <w:shd w:val="clear" w:color="auto" w:fill="FFFFFF"/>
                <w:vAlign w:val="center"/>
              </w:tcPr>
              <w:p w:rsidR="00101B75" w:rsidRPr="00FD0508" w:rsidRDefault="0019326B" w:rsidP="00FD0508">
                <w:pPr>
                  <w:pStyle w:val="Default"/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D050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01B75" w:rsidRPr="00FD0508" w:rsidTr="0019326B">
        <w:trPr>
          <w:trHeight w:val="559"/>
        </w:trPr>
        <w:tc>
          <w:tcPr>
            <w:tcW w:w="7619" w:type="dxa"/>
            <w:shd w:val="clear" w:color="auto" w:fill="FFFFFF"/>
            <w:vAlign w:val="center"/>
          </w:tcPr>
          <w:p w:rsidR="00101B75" w:rsidRPr="00FD0508" w:rsidRDefault="00B864D5" w:rsidP="00FD0508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 xml:space="preserve">1.5 - </w:t>
            </w:r>
            <w:r w:rsidR="00101B75" w:rsidRPr="00FD0508">
              <w:rPr>
                <w:rFonts w:asciiTheme="minorHAnsi" w:hAnsiTheme="minorHAnsi"/>
                <w:sz w:val="22"/>
                <w:szCs w:val="22"/>
              </w:rPr>
              <w:t xml:space="preserve">Nombre de benzodiazépines et </w:t>
            </w:r>
            <w:r w:rsidR="00101B75" w:rsidRPr="00FD0508">
              <w:rPr>
                <w:rFonts w:asciiTheme="minorHAnsi" w:hAnsiTheme="minorHAnsi"/>
                <w:color w:val="auto"/>
                <w:sz w:val="22"/>
                <w:szCs w:val="22"/>
              </w:rPr>
              <w:t>apparentés à demi-vie longue</w:t>
            </w:r>
            <w:r w:rsidR="0019326B" w:rsidRPr="00FD050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19326B" w:rsidRPr="00FD0508">
              <w:rPr>
                <w:rFonts w:asciiTheme="minorHAnsi" w:hAnsiTheme="minorHAnsi"/>
                <w:i/>
                <w:sz w:val="20"/>
                <w:szCs w:val="22"/>
              </w:rPr>
              <w:t>(cf. liste en annexe)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-321503569"/>
            <w:placeholder>
              <w:docPart w:val="DefaultPlaceholder_1082065158"/>
            </w:placeholder>
            <w:showingPlcHdr/>
          </w:sdtPr>
          <w:sdtContent>
            <w:tc>
              <w:tcPr>
                <w:tcW w:w="2884" w:type="dxa"/>
                <w:shd w:val="clear" w:color="auto" w:fill="FFFFFF"/>
                <w:vAlign w:val="center"/>
              </w:tcPr>
              <w:p w:rsidR="00101B75" w:rsidRPr="00FD0508" w:rsidRDefault="0019326B" w:rsidP="00FD0508">
                <w:pPr>
                  <w:pStyle w:val="Default"/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D050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01B75" w:rsidRPr="00FD0508" w:rsidTr="0019326B">
        <w:trPr>
          <w:trHeight w:val="559"/>
        </w:trPr>
        <w:tc>
          <w:tcPr>
            <w:tcW w:w="7619" w:type="dxa"/>
            <w:shd w:val="clear" w:color="auto" w:fill="FFFFFF"/>
            <w:vAlign w:val="center"/>
          </w:tcPr>
          <w:p w:rsidR="00101B75" w:rsidRPr="00FD0508" w:rsidRDefault="00DF6A23" w:rsidP="00FD0508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 xml:space="preserve">1.6 - </w:t>
            </w:r>
            <w:r w:rsidR="00101B75" w:rsidRPr="00FD0508">
              <w:rPr>
                <w:rFonts w:asciiTheme="minorHAnsi" w:hAnsiTheme="minorHAnsi"/>
                <w:sz w:val="22"/>
                <w:szCs w:val="22"/>
              </w:rPr>
              <w:t xml:space="preserve">Nombre de benzodiazépines et </w:t>
            </w:r>
            <w:r w:rsidR="00101B75" w:rsidRPr="00FD0508">
              <w:rPr>
                <w:rFonts w:asciiTheme="minorHAnsi" w:hAnsiTheme="minorHAnsi"/>
                <w:color w:val="auto"/>
                <w:sz w:val="22"/>
                <w:szCs w:val="22"/>
              </w:rPr>
              <w:t>apparentés à demi-vie courte</w:t>
            </w:r>
            <w:r w:rsidR="0019326B" w:rsidRPr="00FD050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19326B" w:rsidRPr="00FD0508">
              <w:rPr>
                <w:rFonts w:asciiTheme="minorHAnsi" w:hAnsiTheme="minorHAnsi"/>
                <w:i/>
                <w:sz w:val="20"/>
                <w:szCs w:val="22"/>
              </w:rPr>
              <w:t>(cf. liste en annexe)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62690129"/>
            <w:placeholder>
              <w:docPart w:val="DefaultPlaceholder_1082065158"/>
            </w:placeholder>
            <w:showingPlcHdr/>
          </w:sdtPr>
          <w:sdtContent>
            <w:tc>
              <w:tcPr>
                <w:tcW w:w="2884" w:type="dxa"/>
                <w:shd w:val="clear" w:color="auto" w:fill="FFFFFF"/>
                <w:vAlign w:val="center"/>
              </w:tcPr>
              <w:p w:rsidR="00101B75" w:rsidRPr="00FD0508" w:rsidRDefault="0019326B" w:rsidP="00FD0508">
                <w:pPr>
                  <w:pStyle w:val="Default"/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D050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E431DB" w:rsidRPr="00FD0508" w:rsidRDefault="00E431DB" w:rsidP="00FD0508">
      <w:r w:rsidRPr="00FD0508">
        <w:br w:type="page"/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2"/>
        <w:gridCol w:w="854"/>
        <w:gridCol w:w="992"/>
        <w:gridCol w:w="992"/>
      </w:tblGrid>
      <w:tr w:rsidR="00101B75" w:rsidRPr="00FD0508" w:rsidTr="00BE6D5B">
        <w:trPr>
          <w:trHeight w:val="477"/>
        </w:trPr>
        <w:tc>
          <w:tcPr>
            <w:tcW w:w="7652" w:type="dxa"/>
            <w:shd w:val="clear" w:color="auto" w:fill="D9D9D9"/>
            <w:vAlign w:val="center"/>
          </w:tcPr>
          <w:p w:rsidR="00101B75" w:rsidRPr="00FD0508" w:rsidRDefault="00101B75" w:rsidP="00FD0508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Critère 2 : </w:t>
            </w:r>
            <w:r w:rsidRPr="00FD050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Prescription d’antidépresseurs non recommandés chez le sujet âgé dans le traitement de la dépression 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101B75" w:rsidRPr="00FD0508" w:rsidRDefault="00101B75" w:rsidP="00FD0508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OUI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101B75" w:rsidRPr="00FD0508" w:rsidRDefault="00101B75" w:rsidP="00FD0508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NON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01B75" w:rsidRPr="00FD0508" w:rsidRDefault="0019326B" w:rsidP="00FD0508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NR</w:t>
            </w:r>
          </w:p>
        </w:tc>
      </w:tr>
      <w:tr w:rsidR="00BE6D5B" w:rsidRPr="00FD0508" w:rsidTr="00BE6D5B">
        <w:trPr>
          <w:trHeight w:val="433"/>
        </w:trPr>
        <w:tc>
          <w:tcPr>
            <w:tcW w:w="7652" w:type="dxa"/>
            <w:vAlign w:val="center"/>
          </w:tcPr>
          <w:p w:rsidR="00BE6D5B" w:rsidRPr="00FD0508" w:rsidRDefault="00BE6D5B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>2.1.a - Antidépresseur imipraminique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1607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vAlign w:val="center"/>
              </w:tcPr>
              <w:p w:rsidR="00BE6D5B" w:rsidRPr="00FD0508" w:rsidRDefault="00BE6D5B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99325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BE6D5B" w:rsidRPr="00FD0508" w:rsidRDefault="00BE6D5B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200871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BE6D5B" w:rsidRPr="00FD0508" w:rsidRDefault="00BE6D5B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E6D5B" w:rsidRPr="00FD0508" w:rsidTr="00BE6D5B">
        <w:trPr>
          <w:trHeight w:val="555"/>
        </w:trPr>
        <w:tc>
          <w:tcPr>
            <w:tcW w:w="7652" w:type="dxa"/>
            <w:vAlign w:val="center"/>
          </w:tcPr>
          <w:p w:rsidR="00BE6D5B" w:rsidRPr="00FD0508" w:rsidRDefault="00BE6D5B" w:rsidP="00FD0508">
            <w:pPr>
              <w:pStyle w:val="Default"/>
              <w:ind w:left="88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>2.1.b - Antidépresseur imipraminique en première intention</w:t>
            </w:r>
          </w:p>
          <w:p w:rsidR="00BE6D5B" w:rsidRPr="00FD0508" w:rsidRDefault="00BE6D5B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i/>
                <w:sz w:val="16"/>
                <w:szCs w:val="22"/>
              </w:rPr>
              <w:t>Critère D2 STOPP et critère 4 de Laroche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84415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vAlign w:val="center"/>
              </w:tcPr>
              <w:p w:rsidR="00BE6D5B" w:rsidRPr="00FD0508" w:rsidRDefault="00BE6D5B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38479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BE6D5B" w:rsidRPr="00FD0508" w:rsidRDefault="00BE6D5B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02883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BE6D5B" w:rsidRPr="00FD0508" w:rsidRDefault="00BE6D5B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E6D5B" w:rsidRPr="00FD0508" w:rsidTr="00BE6D5B">
        <w:trPr>
          <w:trHeight w:val="477"/>
        </w:trPr>
        <w:tc>
          <w:tcPr>
            <w:tcW w:w="7652" w:type="dxa"/>
            <w:vAlign w:val="center"/>
          </w:tcPr>
          <w:p w:rsidR="00BE6D5B" w:rsidRPr="00FD0508" w:rsidRDefault="00BE6D5B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>2.2.a - Inhibiteur sélectif de recapture de la sérotonine (ISRS)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58529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vAlign w:val="center"/>
              </w:tcPr>
              <w:p w:rsidR="00BE6D5B" w:rsidRPr="00FD0508" w:rsidRDefault="00BE6D5B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52956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BE6D5B" w:rsidRPr="00FD0508" w:rsidRDefault="00BE6D5B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212102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BE6D5B" w:rsidRPr="00FD0508" w:rsidRDefault="00BE6D5B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E6D5B" w:rsidRPr="00FD0508" w:rsidTr="00BE6D5B">
        <w:trPr>
          <w:trHeight w:val="477"/>
        </w:trPr>
        <w:tc>
          <w:tcPr>
            <w:tcW w:w="7652" w:type="dxa"/>
            <w:vAlign w:val="center"/>
          </w:tcPr>
          <w:p w:rsidR="00BE6D5B" w:rsidRPr="00FD0508" w:rsidRDefault="00BE6D5B" w:rsidP="00FD0508">
            <w:pPr>
              <w:pStyle w:val="Default"/>
              <w:ind w:left="88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>2.2.b - ISRS en présence d’une hyponatrémie concomitante ou récente (≤ 1 mois*)</w:t>
            </w:r>
          </w:p>
          <w:p w:rsidR="00BE6D5B" w:rsidRPr="00FD0508" w:rsidRDefault="00BE6D5B" w:rsidP="00FD0508">
            <w:pPr>
              <w:spacing w:after="0"/>
              <w:rPr>
                <w:i/>
                <w:sz w:val="20"/>
              </w:rPr>
            </w:pPr>
            <w:r w:rsidRPr="00FD0508">
              <w:rPr>
                <w:i/>
                <w:sz w:val="20"/>
              </w:rPr>
              <w:t>*par rapport à la date de l’ordonnance analysée</w:t>
            </w:r>
          </w:p>
          <w:p w:rsidR="00BE6D5B" w:rsidRPr="00FD0508" w:rsidRDefault="00BE6D5B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i/>
                <w:sz w:val="16"/>
                <w:szCs w:val="22"/>
              </w:rPr>
              <w:t>Critère D4 STOPP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53291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vAlign w:val="center"/>
              </w:tcPr>
              <w:p w:rsidR="00BE6D5B" w:rsidRPr="00FD0508" w:rsidRDefault="00BE6D5B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50745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BE6D5B" w:rsidRPr="00FD0508" w:rsidRDefault="00BE6D5B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47098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BE6D5B" w:rsidRPr="00FD0508" w:rsidRDefault="00BE6D5B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01B75" w:rsidRPr="00FD0508" w:rsidTr="00BE6D5B">
        <w:trPr>
          <w:trHeight w:val="477"/>
        </w:trPr>
        <w:tc>
          <w:tcPr>
            <w:tcW w:w="7652" w:type="dxa"/>
            <w:shd w:val="clear" w:color="auto" w:fill="D9D9D9"/>
            <w:vAlign w:val="center"/>
          </w:tcPr>
          <w:p w:rsidR="00A345F5" w:rsidRPr="00FD0508" w:rsidRDefault="00E431DB" w:rsidP="00FD0508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A345F5" w:rsidRPr="00FD0508">
              <w:rPr>
                <w:rFonts w:asciiTheme="minorHAnsi" w:hAnsiTheme="minorHAnsi"/>
                <w:b/>
                <w:sz w:val="22"/>
                <w:szCs w:val="22"/>
              </w:rPr>
              <w:t xml:space="preserve">ritère 3 </w:t>
            </w:r>
            <w:r w:rsidR="00A345F5" w:rsidRPr="00FD050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:</w:t>
            </w:r>
            <w:r w:rsidR="00A345F5" w:rsidRPr="00FD050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A345F5" w:rsidRPr="00FD050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Prescription de neuroleptiques non recommandés chez le sujet âgé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A345F5" w:rsidRPr="00FD0508" w:rsidRDefault="00A345F5" w:rsidP="00FD0508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OUI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345F5" w:rsidRPr="00FD0508" w:rsidRDefault="00A345F5" w:rsidP="00FD050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NON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45F5" w:rsidRPr="00FD0508" w:rsidRDefault="003355B1" w:rsidP="00FD0508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NR</w:t>
            </w:r>
          </w:p>
        </w:tc>
      </w:tr>
      <w:tr w:rsidR="00BE6D5B" w:rsidRPr="00FD0508" w:rsidTr="00BE6D5B">
        <w:trPr>
          <w:trHeight w:val="492"/>
        </w:trPr>
        <w:tc>
          <w:tcPr>
            <w:tcW w:w="7652" w:type="dxa"/>
            <w:vAlign w:val="center"/>
          </w:tcPr>
          <w:p w:rsidR="00BE6D5B" w:rsidRPr="00FD0508" w:rsidRDefault="00BE6D5B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>3.1.a - Neuroleptiques phénothiaziniques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12153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vAlign w:val="center"/>
              </w:tcPr>
              <w:p w:rsidR="00BE6D5B" w:rsidRPr="00FD0508" w:rsidRDefault="00BE6D5B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70314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BE6D5B" w:rsidRPr="00FD0508" w:rsidRDefault="00BE6D5B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33842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BE6D5B" w:rsidRPr="00FD0508" w:rsidRDefault="00BE6D5B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E6D5B" w:rsidRPr="00FD0508" w:rsidTr="00BE6D5B">
        <w:trPr>
          <w:trHeight w:val="492"/>
        </w:trPr>
        <w:tc>
          <w:tcPr>
            <w:tcW w:w="7652" w:type="dxa"/>
            <w:vAlign w:val="center"/>
          </w:tcPr>
          <w:p w:rsidR="00BE6D5B" w:rsidRPr="00FD0508" w:rsidRDefault="00BE6D5B" w:rsidP="00FD0508">
            <w:pPr>
              <w:pStyle w:val="Default"/>
              <w:ind w:left="88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>3.1.b - Neuroleptiques phénothiaziniques en première intention</w:t>
            </w:r>
          </w:p>
          <w:p w:rsidR="00BE6D5B" w:rsidRPr="00FD0508" w:rsidRDefault="00BE6D5B" w:rsidP="00FD050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D0508">
              <w:rPr>
                <w:rFonts w:asciiTheme="minorHAnsi" w:hAnsiTheme="minorHAnsi"/>
                <w:i/>
                <w:sz w:val="16"/>
                <w:szCs w:val="22"/>
              </w:rPr>
              <w:t>Critère D12 STOPP et critère 5 de Laroche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65552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vAlign w:val="center"/>
              </w:tcPr>
              <w:p w:rsidR="00BE6D5B" w:rsidRPr="00FD0508" w:rsidRDefault="00BE6D5B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65930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BE6D5B" w:rsidRPr="00FD0508" w:rsidRDefault="00BE6D5B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54281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BE6D5B" w:rsidRPr="00FD0508" w:rsidRDefault="00BE6D5B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4943" w:rsidRPr="00FD0508" w:rsidTr="00BE6D5B">
        <w:trPr>
          <w:trHeight w:val="620"/>
        </w:trPr>
        <w:tc>
          <w:tcPr>
            <w:tcW w:w="7652" w:type="dxa"/>
            <w:vAlign w:val="center"/>
          </w:tcPr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>3.2 - Neuroleptiques (autres que la Quétiapine ou</w:t>
            </w:r>
            <w:r w:rsidR="00EF3C04" w:rsidRPr="00FD0508">
              <w:rPr>
                <w:rFonts w:asciiTheme="minorHAnsi" w:hAnsiTheme="minorHAnsi"/>
                <w:sz w:val="22"/>
                <w:szCs w:val="22"/>
              </w:rPr>
              <w:t xml:space="preserve"> la Clozapine) en présence d’une maladie de Parkinson </w:t>
            </w:r>
            <w:r w:rsidRPr="00FD0508">
              <w:rPr>
                <w:rFonts w:asciiTheme="minorHAnsi" w:hAnsiTheme="minorHAnsi"/>
                <w:sz w:val="22"/>
                <w:szCs w:val="22"/>
              </w:rPr>
              <w:t xml:space="preserve">ou </w:t>
            </w:r>
            <w:r w:rsidR="00EF3C04" w:rsidRPr="00FD0508">
              <w:rPr>
                <w:rFonts w:asciiTheme="minorHAnsi" w:hAnsiTheme="minorHAnsi"/>
                <w:sz w:val="22"/>
                <w:szCs w:val="22"/>
              </w:rPr>
              <w:t xml:space="preserve">d’une </w:t>
            </w:r>
            <w:r w:rsidRPr="00FD0508">
              <w:rPr>
                <w:rFonts w:asciiTheme="minorHAnsi" w:hAnsiTheme="minorHAnsi"/>
                <w:sz w:val="22"/>
                <w:szCs w:val="22"/>
              </w:rPr>
              <w:t xml:space="preserve">démence à corps de Lewy </w:t>
            </w:r>
          </w:p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i/>
              </w:rPr>
            </w:pPr>
            <w:r w:rsidRPr="00FD0508">
              <w:rPr>
                <w:rFonts w:asciiTheme="minorHAnsi" w:hAnsiTheme="minorHAnsi"/>
                <w:i/>
                <w:sz w:val="16"/>
                <w:szCs w:val="22"/>
              </w:rPr>
              <w:t>Critère D6 STOPP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25519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52493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73469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4943" w:rsidRPr="00FD0508" w:rsidTr="00BE6D5B">
        <w:trPr>
          <w:trHeight w:val="549"/>
        </w:trPr>
        <w:tc>
          <w:tcPr>
            <w:tcW w:w="7652" w:type="dxa"/>
            <w:vAlign w:val="center"/>
          </w:tcPr>
          <w:p w:rsidR="00EF3C04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>3.3 - Médicaments à effet anticholinergique en traitement des effets extrapyramidaux induits par un neuroleptique</w:t>
            </w:r>
            <w:r w:rsidR="00EF3C04" w:rsidRPr="00FD0508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</w:p>
          <w:p w:rsidR="00352FE9" w:rsidRPr="00FD0508" w:rsidRDefault="00EF3C04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 xml:space="preserve">Bipéridène (AKINETON®), Trihexyphénidyle (ARTANE®, PARKINANE®), </w:t>
            </w:r>
            <w:r w:rsidR="00352FE9" w:rsidRPr="00FD0508">
              <w:rPr>
                <w:rFonts w:asciiTheme="minorHAnsi" w:hAnsiTheme="minorHAnsi"/>
                <w:sz w:val="22"/>
                <w:szCs w:val="22"/>
              </w:rPr>
              <w:t xml:space="preserve">Tropatépine  </w:t>
            </w:r>
            <w:r w:rsidRPr="00FD0508">
              <w:rPr>
                <w:rFonts w:asciiTheme="minorHAnsi" w:hAnsiTheme="minorHAnsi"/>
                <w:sz w:val="22"/>
                <w:szCs w:val="22"/>
              </w:rPr>
              <w:t>(</w:t>
            </w:r>
            <w:r w:rsidR="00352FE9" w:rsidRPr="00FD0508">
              <w:rPr>
                <w:rFonts w:asciiTheme="minorHAnsi" w:hAnsiTheme="minorHAnsi"/>
                <w:sz w:val="22"/>
                <w:szCs w:val="22"/>
              </w:rPr>
              <w:t>LEPTICUR®</w:t>
            </w:r>
            <w:r w:rsidRPr="00FD0508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i/>
              </w:rPr>
            </w:pPr>
            <w:r w:rsidRPr="00FD0508">
              <w:rPr>
                <w:rFonts w:asciiTheme="minorHAnsi" w:hAnsiTheme="minorHAnsi"/>
                <w:i/>
                <w:sz w:val="16"/>
                <w:szCs w:val="22"/>
              </w:rPr>
              <w:t>Critère D7 STOPP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76806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89353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40804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4943" w:rsidRPr="00FD0508" w:rsidTr="00BE6D5B">
        <w:trPr>
          <w:trHeight w:val="549"/>
        </w:trPr>
        <w:tc>
          <w:tcPr>
            <w:tcW w:w="7652" w:type="dxa"/>
            <w:vAlign w:val="center"/>
          </w:tcPr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sz w:val="22"/>
                <w:szCs w:val="22"/>
              </w:rPr>
              <w:t>3.4 - Neuroleptiques prescrits pour une insomnie (sauf dans le cadre d’une insomnie liée à une psychose</w:t>
            </w:r>
            <w:r w:rsidR="00EF3C04" w:rsidRPr="00FD0508">
              <w:rPr>
                <w:rFonts w:asciiTheme="minorHAnsi" w:hAnsiTheme="minorHAnsi"/>
                <w:sz w:val="22"/>
                <w:szCs w:val="22"/>
              </w:rPr>
              <w:t>, à une inversion du nycthémère</w:t>
            </w:r>
            <w:r w:rsidRPr="00FD0508">
              <w:rPr>
                <w:rFonts w:asciiTheme="minorHAnsi" w:hAnsiTheme="minorHAnsi"/>
                <w:sz w:val="22"/>
                <w:szCs w:val="22"/>
              </w:rPr>
              <w:t xml:space="preserve"> ou </w:t>
            </w:r>
            <w:r w:rsidR="00EF3C04" w:rsidRPr="00FD0508">
              <w:rPr>
                <w:rFonts w:asciiTheme="minorHAnsi" w:hAnsiTheme="minorHAnsi"/>
                <w:sz w:val="22"/>
                <w:szCs w:val="22"/>
              </w:rPr>
              <w:t xml:space="preserve">à des troubles du comportement liés à </w:t>
            </w:r>
            <w:r w:rsidRPr="00FD0508">
              <w:rPr>
                <w:rFonts w:asciiTheme="minorHAnsi" w:hAnsiTheme="minorHAnsi"/>
                <w:sz w:val="22"/>
                <w:szCs w:val="22"/>
              </w:rPr>
              <w:t>une démence)</w:t>
            </w:r>
          </w:p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FD0508">
              <w:rPr>
                <w:rFonts w:asciiTheme="minorHAnsi" w:hAnsiTheme="minorHAnsi"/>
                <w:i/>
                <w:sz w:val="16"/>
                <w:szCs w:val="22"/>
              </w:rPr>
              <w:t>Critère D10 STOPP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27100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26534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05500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4943" w:rsidRPr="00FD0508" w:rsidTr="00BE6D5B">
        <w:trPr>
          <w:trHeight w:val="734"/>
        </w:trPr>
        <w:tc>
          <w:tcPr>
            <w:tcW w:w="7652" w:type="dxa"/>
            <w:shd w:val="clear" w:color="auto" w:fill="D9D9D9"/>
            <w:vAlign w:val="center"/>
          </w:tcPr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Critère 4 :</w:t>
            </w:r>
            <w:r w:rsidRPr="00FD05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D050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Prescription de benzodiazépines et apparentés non recommandés chez le sujet âgé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F04943" w:rsidRPr="00FD0508" w:rsidRDefault="00F04943" w:rsidP="00FD0508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OUI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04943" w:rsidRPr="00FD0508" w:rsidRDefault="00F04943" w:rsidP="00FD050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NON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4943" w:rsidRPr="00FD0508" w:rsidRDefault="00F04943" w:rsidP="00FD050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NR</w:t>
            </w:r>
          </w:p>
        </w:tc>
      </w:tr>
      <w:tr w:rsidR="00F04943" w:rsidRPr="00FD0508" w:rsidTr="00BE6D5B">
        <w:trPr>
          <w:trHeight w:val="528"/>
        </w:trPr>
        <w:tc>
          <w:tcPr>
            <w:tcW w:w="7652" w:type="dxa"/>
            <w:vAlign w:val="center"/>
          </w:tcPr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0"/>
              </w:rPr>
            </w:pPr>
            <w:r w:rsidRPr="00FD0508">
              <w:rPr>
                <w:rFonts w:asciiTheme="minorHAnsi" w:hAnsiTheme="minorHAnsi"/>
                <w:color w:val="auto"/>
                <w:sz w:val="22"/>
                <w:szCs w:val="20"/>
              </w:rPr>
              <w:t>4.1 - Benzodiazépine ou apparenté à longue demi-vie (</w:t>
            </w:r>
            <w:r w:rsidRPr="00FD0508">
              <w:rPr>
                <w:color w:val="auto"/>
                <w:sz w:val="22"/>
                <w:szCs w:val="20"/>
              </w:rPr>
              <w:t>≥</w:t>
            </w:r>
            <w:r w:rsidRPr="00FD0508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 20 heures)</w:t>
            </w:r>
          </w:p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D0508">
              <w:rPr>
                <w:rFonts w:asciiTheme="minorHAnsi" w:hAnsiTheme="minorHAnsi"/>
                <w:i/>
                <w:sz w:val="16"/>
                <w:szCs w:val="22"/>
              </w:rPr>
              <w:t>Critère 10 de Laroche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85160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52817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15787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4943" w:rsidRPr="00FD0508" w:rsidTr="00BE6D5B">
        <w:trPr>
          <w:trHeight w:val="233"/>
        </w:trPr>
        <w:tc>
          <w:tcPr>
            <w:tcW w:w="7652" w:type="dxa"/>
            <w:vAlign w:val="center"/>
          </w:tcPr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FD0508">
              <w:rPr>
                <w:rFonts w:asciiTheme="minorHAnsi" w:hAnsiTheme="minorHAnsi"/>
                <w:sz w:val="22"/>
                <w:szCs w:val="20"/>
              </w:rPr>
              <w:t xml:space="preserve">4.2 - Dose de </w:t>
            </w:r>
            <w:r w:rsidRPr="00FD0508">
              <w:rPr>
                <w:rFonts w:asciiTheme="minorHAnsi" w:hAnsiTheme="minorHAnsi"/>
                <w:color w:val="auto"/>
                <w:sz w:val="22"/>
                <w:szCs w:val="20"/>
              </w:rPr>
              <w:t>benzodiazépine ou apparenté à demi</w:t>
            </w:r>
            <w:r w:rsidRPr="00FD0508">
              <w:rPr>
                <w:rFonts w:asciiTheme="minorHAnsi" w:hAnsiTheme="minorHAnsi"/>
                <w:sz w:val="22"/>
                <w:szCs w:val="20"/>
              </w:rPr>
              <w:t>-vie courte ou intermédiaire supérieure à la moitié de la dose proposée chez l’adulte jeune</w:t>
            </w:r>
          </w:p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FD0508">
              <w:rPr>
                <w:rFonts w:asciiTheme="minorHAnsi" w:hAnsiTheme="minorHAnsi"/>
                <w:i/>
                <w:sz w:val="18"/>
                <w:szCs w:val="20"/>
              </w:rPr>
              <w:t>(Alprazolam &gt; 2 mg/j, Clotiazépam &gt; 5 mg/j, Loprazolam &gt; 0,5 mg/j, Lorazépam &gt; 3 mg/j, Lormétazépam &gt; 0,5 mg/j, Oxazépam &gt; 60 mg/j, Zolpidem &gt; 5 mg/j, Zopiclone &gt; 3,75 mg/j)</w:t>
            </w:r>
          </w:p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FD0508">
              <w:rPr>
                <w:rFonts w:asciiTheme="minorHAnsi" w:hAnsiTheme="minorHAnsi"/>
                <w:i/>
                <w:sz w:val="16"/>
                <w:szCs w:val="22"/>
              </w:rPr>
              <w:t>Critère 27 de Laroche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57971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96353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30274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4943" w:rsidRPr="00FD0508" w:rsidTr="00BE6D5B">
        <w:trPr>
          <w:trHeight w:val="600"/>
        </w:trPr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FD0508">
              <w:rPr>
                <w:rFonts w:asciiTheme="minorHAnsi" w:hAnsiTheme="minorHAnsi"/>
                <w:sz w:val="22"/>
                <w:szCs w:val="20"/>
              </w:rPr>
              <w:t xml:space="preserve">4.3 - Benzodiazépine </w:t>
            </w:r>
            <w:r w:rsidR="00FC7BAC">
              <w:rPr>
                <w:rFonts w:asciiTheme="minorHAnsi" w:hAnsiTheme="minorHAnsi"/>
                <w:sz w:val="22"/>
                <w:szCs w:val="20"/>
              </w:rPr>
              <w:t xml:space="preserve">ou apparenté </w:t>
            </w:r>
            <w:r w:rsidRPr="00FD0508">
              <w:rPr>
                <w:rFonts w:asciiTheme="minorHAnsi" w:hAnsiTheme="minorHAnsi"/>
                <w:sz w:val="22"/>
                <w:szCs w:val="20"/>
              </w:rPr>
              <w:t xml:space="preserve">en traitement prolongé de plus de 4 semaines </w:t>
            </w:r>
          </w:p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D0508">
              <w:rPr>
                <w:rFonts w:asciiTheme="minorHAnsi" w:hAnsiTheme="minorHAnsi"/>
                <w:i/>
                <w:sz w:val="16"/>
                <w:szCs w:val="22"/>
              </w:rPr>
              <w:t>Critère D5 STOPP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315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tcBorders>
                  <w:bottom w:val="single" w:sz="4" w:space="0" w:color="auto"/>
                </w:tcBorders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49125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26203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4943" w:rsidRPr="00FD0508" w:rsidTr="00BE6D5B">
        <w:trPr>
          <w:trHeight w:val="600"/>
        </w:trPr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FD0508">
              <w:rPr>
                <w:rFonts w:asciiTheme="minorHAnsi" w:hAnsiTheme="minorHAnsi"/>
                <w:sz w:val="22"/>
                <w:szCs w:val="20"/>
              </w:rPr>
              <w:t>4.4 - Si traitement de plus de deux semain</w:t>
            </w:r>
            <w:r w:rsidR="00434EC3" w:rsidRPr="00FD0508">
              <w:rPr>
                <w:rFonts w:asciiTheme="minorHAnsi" w:hAnsiTheme="minorHAnsi"/>
                <w:sz w:val="22"/>
                <w:szCs w:val="20"/>
              </w:rPr>
              <w:t>es, posologie de benzodiazépine</w:t>
            </w:r>
            <w:r w:rsidR="00FC7BAC">
              <w:rPr>
                <w:rFonts w:asciiTheme="minorHAnsi" w:hAnsiTheme="minorHAnsi"/>
                <w:sz w:val="22"/>
                <w:szCs w:val="20"/>
              </w:rPr>
              <w:t xml:space="preserve"> ou apparenté</w:t>
            </w:r>
            <w:r w:rsidR="00434EC3" w:rsidRPr="00FD0508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Pr="00FD0508">
              <w:rPr>
                <w:rFonts w:asciiTheme="minorHAnsi" w:hAnsiTheme="minorHAnsi"/>
                <w:sz w:val="22"/>
                <w:szCs w:val="20"/>
              </w:rPr>
              <w:t xml:space="preserve">diminuée progressivement </w:t>
            </w:r>
          </w:p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D050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D0508">
              <w:rPr>
                <w:rFonts w:asciiTheme="minorHAnsi" w:hAnsiTheme="minorHAnsi"/>
                <w:i/>
                <w:sz w:val="16"/>
                <w:szCs w:val="22"/>
              </w:rPr>
              <w:t>Critère D5 STOPP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62228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tcBorders>
                  <w:bottom w:val="single" w:sz="4" w:space="0" w:color="auto"/>
                </w:tcBorders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55762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64003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4943" w:rsidRPr="00FD0508" w:rsidTr="00BE6D5B">
        <w:trPr>
          <w:trHeight w:val="356"/>
        </w:trPr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0"/>
              </w:rPr>
            </w:pPr>
            <w:r w:rsidRPr="00FD0508">
              <w:rPr>
                <w:rFonts w:asciiTheme="minorHAnsi" w:hAnsiTheme="minorHAnsi"/>
                <w:sz w:val="22"/>
                <w:szCs w:val="20"/>
              </w:rPr>
              <w:t>4.5 - Benzodiazépine ou apparenté en présence d’un</w:t>
            </w:r>
            <w:r w:rsidRPr="00FD0508">
              <w:rPr>
                <w:rFonts w:asciiTheme="minorHAnsi" w:hAnsiTheme="minorHAnsi"/>
                <w:color w:val="auto"/>
                <w:sz w:val="22"/>
                <w:szCs w:val="20"/>
              </w:rPr>
              <w:t>e insuffisance respiratoire aigüe</w:t>
            </w:r>
            <w:r w:rsidR="00B414DD" w:rsidRPr="00FD0508">
              <w:rPr>
                <w:rFonts w:asciiTheme="minorHAnsi" w:hAnsiTheme="minorHAnsi"/>
                <w:color w:val="auto"/>
                <w:sz w:val="22"/>
                <w:szCs w:val="20"/>
              </w:rPr>
              <w:t>*</w:t>
            </w:r>
            <w:r w:rsidRPr="00FD0508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 ou chronique </w:t>
            </w:r>
          </w:p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i/>
                <w:color w:val="auto"/>
                <w:sz w:val="18"/>
                <w:szCs w:val="20"/>
              </w:rPr>
            </w:pPr>
            <w:r w:rsidRPr="00FD0508">
              <w:rPr>
                <w:rFonts w:asciiTheme="minorHAnsi" w:hAnsiTheme="minorHAnsi"/>
                <w:i/>
                <w:color w:val="auto"/>
                <w:sz w:val="18"/>
                <w:szCs w:val="20"/>
              </w:rPr>
              <w:t>(pO</w:t>
            </w:r>
            <w:r w:rsidRPr="00FD0508">
              <w:rPr>
                <w:rFonts w:asciiTheme="minorHAnsi" w:hAnsiTheme="minorHAnsi"/>
                <w:i/>
                <w:color w:val="auto"/>
                <w:sz w:val="18"/>
                <w:szCs w:val="20"/>
                <w:vertAlign w:val="subscript"/>
              </w:rPr>
              <w:t>2</w:t>
            </w:r>
            <w:r w:rsidRPr="00FD0508">
              <w:rPr>
                <w:rFonts w:asciiTheme="minorHAnsi" w:hAnsiTheme="minorHAnsi"/>
                <w:i/>
                <w:color w:val="auto"/>
                <w:sz w:val="18"/>
                <w:szCs w:val="20"/>
              </w:rPr>
              <w:t xml:space="preserve"> &lt; 60 mmHg ou SaO</w:t>
            </w:r>
            <w:r w:rsidRPr="00FD0508">
              <w:rPr>
                <w:rFonts w:asciiTheme="minorHAnsi" w:hAnsiTheme="minorHAnsi"/>
                <w:i/>
                <w:color w:val="auto"/>
                <w:sz w:val="18"/>
                <w:szCs w:val="20"/>
                <w:vertAlign w:val="subscript"/>
              </w:rPr>
              <w:t>2</w:t>
            </w:r>
            <w:r w:rsidRPr="00FD0508">
              <w:rPr>
                <w:rFonts w:asciiTheme="minorHAnsi" w:hAnsiTheme="minorHAnsi"/>
                <w:i/>
                <w:color w:val="auto"/>
                <w:sz w:val="18"/>
                <w:szCs w:val="20"/>
              </w:rPr>
              <w:t xml:space="preserve"> &lt; 89% ou &lt; 8,0 kPa ou/et pCO</w:t>
            </w:r>
            <w:r w:rsidRPr="00FD0508">
              <w:rPr>
                <w:rFonts w:asciiTheme="minorHAnsi" w:hAnsiTheme="minorHAnsi"/>
                <w:i/>
                <w:color w:val="auto"/>
                <w:sz w:val="18"/>
                <w:szCs w:val="20"/>
                <w:vertAlign w:val="subscript"/>
              </w:rPr>
              <w:t>2</w:t>
            </w:r>
            <w:r w:rsidRPr="00FD0508">
              <w:rPr>
                <w:rFonts w:asciiTheme="minorHAnsi" w:hAnsiTheme="minorHAnsi"/>
                <w:i/>
                <w:color w:val="auto"/>
                <w:sz w:val="18"/>
                <w:szCs w:val="20"/>
              </w:rPr>
              <w:t xml:space="preserve"> &gt; 6,5 kPa ou &gt; 50 mmHg)</w:t>
            </w:r>
          </w:p>
          <w:p w:rsidR="00B414DD" w:rsidRPr="00FD0508" w:rsidRDefault="00B414DD" w:rsidP="00FD0508">
            <w:pPr>
              <w:spacing w:after="0"/>
              <w:rPr>
                <w:i/>
                <w:sz w:val="20"/>
              </w:rPr>
            </w:pPr>
            <w:r w:rsidRPr="00FD0508">
              <w:rPr>
                <w:i/>
                <w:sz w:val="20"/>
              </w:rPr>
              <w:t>*par rapport à la date de l’ordonnance analysée</w:t>
            </w:r>
          </w:p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D0508">
              <w:rPr>
                <w:rFonts w:asciiTheme="minorHAnsi" w:hAnsiTheme="minorHAnsi"/>
                <w:i/>
                <w:color w:val="auto"/>
                <w:sz w:val="16"/>
                <w:szCs w:val="22"/>
              </w:rPr>
              <w:t>Critère G5 STOPP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22102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tcBorders>
                  <w:bottom w:val="single" w:sz="4" w:space="0" w:color="auto"/>
                </w:tcBorders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22047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04224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BE6D5B" w:rsidRPr="00FD0508" w:rsidRDefault="00BE6D5B" w:rsidP="00FD0508">
      <w:r w:rsidRPr="00FD0508">
        <w:br w:type="page"/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2"/>
        <w:gridCol w:w="854"/>
        <w:gridCol w:w="992"/>
        <w:gridCol w:w="992"/>
      </w:tblGrid>
      <w:tr w:rsidR="00F04943" w:rsidRPr="00FD0508" w:rsidTr="00BE6D5B">
        <w:trPr>
          <w:trHeight w:val="356"/>
        </w:trPr>
        <w:tc>
          <w:tcPr>
            <w:tcW w:w="7652" w:type="dxa"/>
            <w:shd w:val="clear" w:color="auto" w:fill="D9D9D9"/>
            <w:vAlign w:val="center"/>
          </w:tcPr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Critère 5 :</w:t>
            </w:r>
            <w:r w:rsidRPr="00FD05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D050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Prescription inadaptée de médicaments aux propriétés anticholinergiques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F04943" w:rsidRPr="00FD0508" w:rsidRDefault="00F04943" w:rsidP="00FD0508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OUI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04943" w:rsidRPr="00FD0508" w:rsidRDefault="00F04943" w:rsidP="00FD050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NON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4943" w:rsidRPr="00FD0508" w:rsidRDefault="00F04943" w:rsidP="00FD050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NR</w:t>
            </w:r>
          </w:p>
        </w:tc>
      </w:tr>
      <w:tr w:rsidR="00F04943" w:rsidRPr="00FD0508" w:rsidTr="00BE6D5B">
        <w:trPr>
          <w:trHeight w:val="356"/>
        </w:trPr>
        <w:tc>
          <w:tcPr>
            <w:tcW w:w="7652" w:type="dxa"/>
            <w:vAlign w:val="center"/>
          </w:tcPr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FD0508">
              <w:rPr>
                <w:rFonts w:asciiTheme="minorHAnsi" w:hAnsiTheme="minorHAnsi"/>
                <w:sz w:val="22"/>
                <w:szCs w:val="20"/>
              </w:rPr>
              <w:t>5.1 - Médicament ayant des propriétés anticholinergiques en cas de démence et/ou d’un syndrome confusionnel</w:t>
            </w:r>
          </w:p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D0508">
              <w:rPr>
                <w:rFonts w:asciiTheme="minorHAnsi" w:hAnsiTheme="minorHAnsi"/>
                <w:i/>
                <w:sz w:val="16"/>
                <w:szCs w:val="22"/>
              </w:rPr>
              <w:t>Critère D8 STOPP et critère 24 de Laroche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33921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18266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26604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4943" w:rsidRPr="00FD0508" w:rsidTr="00BE6D5B">
        <w:trPr>
          <w:trHeight w:val="356"/>
        </w:trPr>
        <w:tc>
          <w:tcPr>
            <w:tcW w:w="7652" w:type="dxa"/>
            <w:vAlign w:val="center"/>
          </w:tcPr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color w:val="auto"/>
                <w:sz w:val="22"/>
                <w:szCs w:val="22"/>
              </w:rPr>
              <w:t>5.2 - Hy</w:t>
            </w:r>
            <w:r w:rsidRPr="00FD0508">
              <w:rPr>
                <w:rFonts w:asciiTheme="minorHAnsi" w:hAnsiTheme="minorHAnsi"/>
                <w:sz w:val="22"/>
                <w:szCs w:val="22"/>
              </w:rPr>
              <w:t>droxyzine (ATARAX</w:t>
            </w:r>
            <w:r w:rsidRPr="00FD0508">
              <w:rPr>
                <w:rFonts w:asciiTheme="minorHAnsi" w:eastAsia="Times New Roman" w:hAnsiTheme="minorHAnsi" w:cs="Arial"/>
                <w:sz w:val="22"/>
                <w:szCs w:val="22"/>
                <w:vertAlign w:val="superscript"/>
              </w:rPr>
              <w:t>®</w:t>
            </w:r>
            <w:r w:rsidRPr="00FD0508">
              <w:rPr>
                <w:rFonts w:asciiTheme="minorHAnsi" w:hAnsiTheme="minorHAnsi"/>
                <w:sz w:val="22"/>
                <w:szCs w:val="22"/>
              </w:rPr>
              <w:t>), antihistaminique H1</w:t>
            </w:r>
          </w:p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FD0508">
              <w:rPr>
                <w:rFonts w:asciiTheme="minorHAnsi" w:hAnsiTheme="minorHAnsi"/>
                <w:i/>
                <w:sz w:val="16"/>
                <w:szCs w:val="22"/>
              </w:rPr>
              <w:t xml:space="preserve">Critère D14 STOPP et critère 7 de Laroche 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86069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58637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68701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4943" w:rsidRPr="00FD0508" w:rsidTr="00BE6D5B">
        <w:trPr>
          <w:trHeight w:val="356"/>
        </w:trPr>
        <w:tc>
          <w:tcPr>
            <w:tcW w:w="7652" w:type="dxa"/>
            <w:vAlign w:val="center"/>
          </w:tcPr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0"/>
              </w:rPr>
            </w:pPr>
            <w:r w:rsidRPr="00FD0508">
              <w:rPr>
                <w:rFonts w:asciiTheme="minorHAnsi" w:hAnsiTheme="minorHAnsi"/>
                <w:color w:val="auto"/>
                <w:sz w:val="22"/>
                <w:szCs w:val="20"/>
              </w:rPr>
              <w:t>5.3 - Prescription concomitante de plus de 2 psychotropes à effets anticholinergiques</w:t>
            </w:r>
          </w:p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</w:pPr>
            <w:r w:rsidRPr="00FD0508">
              <w:rPr>
                <w:rFonts w:asciiTheme="minorHAnsi" w:hAnsiTheme="minorHAnsi"/>
                <w:i/>
                <w:color w:val="auto"/>
                <w:sz w:val="16"/>
                <w:szCs w:val="22"/>
              </w:rPr>
              <w:t>Critère N1 STOPP et critère 9 de Laroche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01865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264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208204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4943" w:rsidRPr="00FD0508" w:rsidTr="00BE6D5B">
        <w:trPr>
          <w:trHeight w:val="356"/>
        </w:trPr>
        <w:tc>
          <w:tcPr>
            <w:tcW w:w="7652" w:type="dxa"/>
            <w:shd w:val="clear" w:color="auto" w:fill="D9D9D9"/>
            <w:vAlign w:val="center"/>
          </w:tcPr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Critère 6 :</w:t>
            </w:r>
            <w:r w:rsidRPr="00FD05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D050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Association non recommandée chez le sujet âgé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F04943" w:rsidRPr="00FD0508" w:rsidRDefault="00F04943" w:rsidP="00FD0508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OUI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04943" w:rsidRPr="00FD0508" w:rsidRDefault="00F04943" w:rsidP="00FD0508">
            <w:pPr>
              <w:pStyle w:val="Default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NON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04943" w:rsidRPr="00FD0508" w:rsidRDefault="00F04943" w:rsidP="00FD0508">
            <w:pPr>
              <w:pStyle w:val="Default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FD0508">
              <w:rPr>
                <w:rFonts w:asciiTheme="minorHAnsi" w:hAnsiTheme="minorHAnsi"/>
                <w:b/>
                <w:sz w:val="22"/>
                <w:szCs w:val="22"/>
              </w:rPr>
              <w:t>NR</w:t>
            </w:r>
          </w:p>
        </w:tc>
      </w:tr>
      <w:tr w:rsidR="00F04943" w:rsidRPr="00FD0508" w:rsidTr="00BE6D5B">
        <w:trPr>
          <w:trHeight w:val="356"/>
        </w:trPr>
        <w:tc>
          <w:tcPr>
            <w:tcW w:w="7652" w:type="dxa"/>
            <w:vAlign w:val="center"/>
          </w:tcPr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FD0508">
              <w:rPr>
                <w:rFonts w:asciiTheme="minorHAnsi" w:hAnsiTheme="minorHAnsi"/>
                <w:sz w:val="22"/>
                <w:szCs w:val="20"/>
              </w:rPr>
              <w:t>6.1 - Association d’au moins deux psychotropes de la même classe pharmacothérapeutique</w:t>
            </w:r>
          </w:p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i/>
                <w:sz w:val="18"/>
                <w:szCs w:val="20"/>
              </w:rPr>
            </w:pPr>
            <w:r w:rsidRPr="00FD0508">
              <w:rPr>
                <w:rFonts w:asciiTheme="minorHAnsi" w:hAnsiTheme="minorHAnsi"/>
                <w:i/>
                <w:sz w:val="18"/>
                <w:szCs w:val="20"/>
              </w:rPr>
              <w:t>Association d’au moins deux benzodiazépines ou apparentés ; au moins deux neuroleptiques ; au moins deux antidépresseurs</w:t>
            </w:r>
          </w:p>
          <w:p w:rsidR="00F04943" w:rsidRPr="00FD0508" w:rsidRDefault="00F04943" w:rsidP="00FD0508">
            <w:pPr>
              <w:pStyle w:val="Default"/>
              <w:jc w:val="both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FD0508">
              <w:rPr>
                <w:rFonts w:asciiTheme="minorHAnsi" w:hAnsiTheme="minorHAnsi"/>
                <w:i/>
                <w:sz w:val="16"/>
                <w:szCs w:val="22"/>
              </w:rPr>
              <w:t>Critère 33 de Laroche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99946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64873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94006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:rsidR="00F04943" w:rsidRPr="00FD0508" w:rsidRDefault="00F04943" w:rsidP="00FD0508">
                <w:pPr>
                  <w:pStyle w:val="Defaul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D05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4943" w:rsidRPr="00FD0508" w:rsidTr="00BE6D5B">
        <w:trPr>
          <w:trHeight w:val="1829"/>
        </w:trPr>
        <w:tc>
          <w:tcPr>
            <w:tcW w:w="10488" w:type="dxa"/>
            <w:gridSpan w:val="4"/>
          </w:tcPr>
          <w:p w:rsidR="00F04943" w:rsidRPr="00FD0508" w:rsidRDefault="00F04943" w:rsidP="00FD0508">
            <w:pPr>
              <w:pStyle w:val="Defaul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D0508">
              <w:rPr>
                <w:rFonts w:asciiTheme="minorHAnsi" w:hAnsiTheme="minorHAnsi"/>
                <w:b/>
                <w:i/>
                <w:sz w:val="22"/>
                <w:szCs w:val="22"/>
              </w:rPr>
              <w:t>Commentaires :</w:t>
            </w:r>
          </w:p>
        </w:tc>
      </w:tr>
    </w:tbl>
    <w:p w:rsidR="00352FE9" w:rsidRPr="00FD0508" w:rsidRDefault="00352FE9" w:rsidP="00FD0508">
      <w:pPr>
        <w:rPr>
          <w:rFonts w:eastAsiaTheme="majorEastAsia" w:cstheme="majorBidi"/>
          <w:sz w:val="28"/>
          <w:szCs w:val="28"/>
        </w:rPr>
      </w:pPr>
      <w:r w:rsidRPr="00FD0508">
        <w:br w:type="page"/>
      </w:r>
    </w:p>
    <w:p w:rsidR="008E07F8" w:rsidRPr="00FD0508" w:rsidRDefault="00A409CD" w:rsidP="00FD0508">
      <w:pPr>
        <w:pStyle w:val="Titre1"/>
        <w:rPr>
          <w:rFonts w:asciiTheme="minorHAnsi" w:hAnsiTheme="minorHAnsi"/>
          <w:color w:val="034EA2"/>
        </w:rPr>
      </w:pPr>
      <w:r w:rsidRPr="00FD0508">
        <w:rPr>
          <w:rFonts w:asciiTheme="minorHAnsi" w:hAnsiTheme="minorHAnsi"/>
          <w:color w:val="034EA2"/>
          <w:u w:val="single"/>
        </w:rPr>
        <w:lastRenderedPageBreak/>
        <w:t>ANNEXE</w:t>
      </w:r>
      <w:r w:rsidRPr="00FD0508">
        <w:rPr>
          <w:rFonts w:asciiTheme="minorHAnsi" w:hAnsiTheme="minorHAnsi"/>
          <w:color w:val="034EA2"/>
        </w:rPr>
        <w:t> : LISTE DES PSYCHOTROPES</w:t>
      </w:r>
    </w:p>
    <w:p w:rsidR="008E07F8" w:rsidRPr="00FD0508" w:rsidRDefault="008E07F8" w:rsidP="00FD0508">
      <w:pPr>
        <w:spacing w:after="0"/>
        <w:jc w:val="both"/>
        <w:rPr>
          <w:rFonts w:asciiTheme="minorHAnsi" w:hAnsiTheme="minorHAnsi"/>
        </w:rPr>
      </w:pPr>
    </w:p>
    <w:p w:rsidR="004E5405" w:rsidRPr="00FD0508" w:rsidRDefault="004E5405" w:rsidP="00FD0508">
      <w:pPr>
        <w:spacing w:after="0"/>
        <w:jc w:val="both"/>
        <w:rPr>
          <w:rFonts w:asciiTheme="minorHAnsi" w:hAnsiTheme="minorHAnsi"/>
          <w:b/>
          <w:color w:val="4BACC6" w:themeColor="accent5"/>
          <w:u w:val="single"/>
        </w:rPr>
      </w:pPr>
      <w:r w:rsidRPr="00FD0508">
        <w:rPr>
          <w:rFonts w:asciiTheme="minorHAnsi" w:hAnsiTheme="minorHAnsi"/>
          <w:b/>
          <w:color w:val="4BACC6" w:themeColor="accent5"/>
          <w:u w:val="single"/>
        </w:rPr>
        <w:t>ANTIDEPRESSEURS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5405" w:rsidRPr="00FD0508" w:rsidTr="00AB78C2">
        <w:tc>
          <w:tcPr>
            <w:tcW w:w="4606" w:type="dxa"/>
            <w:vAlign w:val="center"/>
          </w:tcPr>
          <w:p w:rsidR="004E5405" w:rsidRPr="00FD0508" w:rsidRDefault="004E5405" w:rsidP="00FD0508">
            <w:pPr>
              <w:spacing w:after="0"/>
              <w:rPr>
                <w:rFonts w:asciiTheme="minorHAnsi" w:hAnsiTheme="minorHAnsi"/>
              </w:rPr>
            </w:pPr>
            <w:r w:rsidRPr="00FD0508">
              <w:rPr>
                <w:rFonts w:asciiTheme="minorHAnsi" w:hAnsiTheme="minorHAnsi"/>
              </w:rPr>
              <w:t>Antidépresseurs imipraminiques</w:t>
            </w:r>
          </w:p>
        </w:tc>
        <w:tc>
          <w:tcPr>
            <w:tcW w:w="4606" w:type="dxa"/>
          </w:tcPr>
          <w:p w:rsidR="004E5405" w:rsidRPr="00FD0508" w:rsidRDefault="004E5405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Amitriptyline (LAROXYL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vertAlign w:val="superscript"/>
                <w:lang w:eastAsia="fr-FR"/>
              </w:rPr>
              <w:t>®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)</w:t>
            </w:r>
          </w:p>
          <w:p w:rsidR="004E5405" w:rsidRPr="00FD0508" w:rsidRDefault="004E5405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Amoxapine (DEFANYL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vertAlign w:val="superscript"/>
                <w:lang w:eastAsia="fr-FR"/>
              </w:rPr>
              <w:t>®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)</w:t>
            </w:r>
          </w:p>
          <w:p w:rsidR="004E5405" w:rsidRPr="00FD0508" w:rsidRDefault="004E5405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Clomipramine (ANAFRANIL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vertAlign w:val="superscript"/>
                <w:lang w:eastAsia="fr-FR"/>
              </w:rPr>
              <w:t>®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)</w:t>
            </w:r>
          </w:p>
          <w:p w:rsidR="004E5405" w:rsidRPr="00FD0508" w:rsidRDefault="004E5405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Dosulépine (PROTHIADEN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vertAlign w:val="superscript"/>
                <w:lang w:eastAsia="fr-FR"/>
              </w:rPr>
              <w:t>®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)</w:t>
            </w:r>
          </w:p>
          <w:p w:rsidR="004E5405" w:rsidRPr="00FD0508" w:rsidRDefault="004E5405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Doxépine (QUITAXON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vertAlign w:val="superscript"/>
                <w:lang w:eastAsia="fr-FR"/>
              </w:rPr>
              <w:t>®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)</w:t>
            </w:r>
          </w:p>
          <w:p w:rsidR="004E5405" w:rsidRPr="00FD0508" w:rsidRDefault="004E5405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Imipramine (TOFRANIL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vertAlign w:val="superscript"/>
                <w:lang w:eastAsia="fr-FR"/>
              </w:rPr>
              <w:t>®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)</w:t>
            </w:r>
          </w:p>
          <w:p w:rsidR="004E5405" w:rsidRPr="00FD0508" w:rsidRDefault="004E5405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Maprotiline (LUDIOMIL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vertAlign w:val="superscript"/>
                <w:lang w:eastAsia="fr-FR"/>
              </w:rPr>
              <w:t>®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)</w:t>
            </w:r>
          </w:p>
          <w:p w:rsidR="004E5405" w:rsidRPr="00FD0508" w:rsidRDefault="004E5405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9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Trimipramine (SURMONTIL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vertAlign w:val="superscript"/>
                <w:lang w:eastAsia="fr-FR"/>
              </w:rPr>
              <w:t>®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)</w:t>
            </w:r>
          </w:p>
        </w:tc>
      </w:tr>
      <w:tr w:rsidR="004E5405" w:rsidRPr="00FD0508" w:rsidTr="00AB78C2">
        <w:tc>
          <w:tcPr>
            <w:tcW w:w="4606" w:type="dxa"/>
            <w:vAlign w:val="center"/>
          </w:tcPr>
          <w:p w:rsidR="004E5405" w:rsidRPr="00FD0508" w:rsidRDefault="00AB78C2" w:rsidP="00FD0508">
            <w:pPr>
              <w:spacing w:after="0"/>
              <w:rPr>
                <w:rFonts w:asciiTheme="minorHAnsi" w:hAnsiTheme="minorHAnsi"/>
              </w:rPr>
            </w:pPr>
            <w:r w:rsidRPr="00FD0508">
              <w:rPr>
                <w:rFonts w:asciiTheme="minorHAnsi" w:hAnsiTheme="minorHAnsi"/>
              </w:rPr>
              <w:t>Inhibiteurs sélectifs de recapture de la sérotonine</w:t>
            </w:r>
          </w:p>
        </w:tc>
        <w:tc>
          <w:tcPr>
            <w:tcW w:w="4606" w:type="dxa"/>
          </w:tcPr>
          <w:p w:rsidR="00AB78C2" w:rsidRPr="00FD0508" w:rsidRDefault="00AB78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Citalopram (SEROPRAM®)</w:t>
            </w:r>
          </w:p>
          <w:p w:rsidR="00AB78C2" w:rsidRPr="00FD0508" w:rsidRDefault="00AB78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Escitalopram (SEROPLEX®)</w:t>
            </w:r>
          </w:p>
          <w:p w:rsidR="00AB78C2" w:rsidRPr="00FD0508" w:rsidRDefault="00AB78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Fluoxétine (PROZAC®)</w:t>
            </w:r>
          </w:p>
          <w:p w:rsidR="00AB78C2" w:rsidRPr="00FD0508" w:rsidRDefault="00AB78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Fluvoxamine (FLOXYFRAL®)</w:t>
            </w:r>
          </w:p>
          <w:p w:rsidR="00AB78C2" w:rsidRPr="00FD0508" w:rsidRDefault="00AB78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Paroxétine (DEROXAT®)</w:t>
            </w:r>
          </w:p>
          <w:p w:rsidR="004E5405" w:rsidRPr="00FD0508" w:rsidRDefault="00AB78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Sertraline (ZOLOFT®)</w:t>
            </w:r>
          </w:p>
        </w:tc>
      </w:tr>
      <w:tr w:rsidR="004E5405" w:rsidRPr="00FD0508" w:rsidTr="00AB78C2">
        <w:tc>
          <w:tcPr>
            <w:tcW w:w="4606" w:type="dxa"/>
            <w:vAlign w:val="center"/>
          </w:tcPr>
          <w:p w:rsidR="004E5405" w:rsidRPr="00FD0508" w:rsidRDefault="00AB78C2" w:rsidP="00FD0508">
            <w:pPr>
              <w:spacing w:after="0"/>
              <w:rPr>
                <w:rFonts w:asciiTheme="minorHAnsi" w:hAnsiTheme="minorHAnsi"/>
              </w:rPr>
            </w:pPr>
            <w:r w:rsidRPr="00FD0508">
              <w:rPr>
                <w:rFonts w:asciiTheme="minorHAnsi" w:hAnsiTheme="minorHAnsi"/>
              </w:rPr>
              <w:t>Inhibiteurs non sélectifs de recapture de la sérotonine</w:t>
            </w:r>
          </w:p>
        </w:tc>
        <w:tc>
          <w:tcPr>
            <w:tcW w:w="4606" w:type="dxa"/>
          </w:tcPr>
          <w:p w:rsidR="00AB78C2" w:rsidRPr="00FD0508" w:rsidRDefault="00AB78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Duloxétine (CYMBALTA®)</w:t>
            </w:r>
          </w:p>
          <w:p w:rsidR="00AB78C2" w:rsidRPr="00FD0508" w:rsidRDefault="00AB78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Milnacipran (IXEL®)</w:t>
            </w:r>
          </w:p>
          <w:p w:rsidR="004E5405" w:rsidRPr="00FD0508" w:rsidRDefault="00AB78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Venlafaxine (EFFEXOR®)</w:t>
            </w:r>
          </w:p>
        </w:tc>
      </w:tr>
      <w:tr w:rsidR="00E35333" w:rsidRPr="00FD0508" w:rsidTr="00AB78C2">
        <w:tc>
          <w:tcPr>
            <w:tcW w:w="4606" w:type="dxa"/>
            <w:vAlign w:val="center"/>
          </w:tcPr>
          <w:p w:rsidR="00E35333" w:rsidRPr="00FD0508" w:rsidRDefault="00E35333" w:rsidP="00FD0508">
            <w:pPr>
              <w:spacing w:after="0"/>
              <w:rPr>
                <w:rFonts w:asciiTheme="minorHAnsi" w:hAnsiTheme="minorHAnsi"/>
              </w:rPr>
            </w:pPr>
            <w:r w:rsidRPr="00FD0508">
              <w:rPr>
                <w:rFonts w:asciiTheme="minorHAnsi" w:hAnsiTheme="minorHAnsi"/>
              </w:rPr>
              <w:t>IMAO</w:t>
            </w:r>
          </w:p>
        </w:tc>
        <w:tc>
          <w:tcPr>
            <w:tcW w:w="4606" w:type="dxa"/>
          </w:tcPr>
          <w:p w:rsidR="00E35333" w:rsidRPr="00FD0508" w:rsidRDefault="00E35333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Iproniazide (MARSILID®)</w:t>
            </w:r>
          </w:p>
          <w:p w:rsidR="00E35333" w:rsidRPr="00FD0508" w:rsidRDefault="00E35333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Moclobémide (MOCLAMINE®)</w:t>
            </w:r>
          </w:p>
        </w:tc>
      </w:tr>
      <w:tr w:rsidR="004E5405" w:rsidRPr="00FD0508" w:rsidTr="00AB78C2">
        <w:tc>
          <w:tcPr>
            <w:tcW w:w="4606" w:type="dxa"/>
            <w:vAlign w:val="center"/>
          </w:tcPr>
          <w:p w:rsidR="004E5405" w:rsidRPr="00FD0508" w:rsidRDefault="00AB78C2" w:rsidP="00FD0508">
            <w:pPr>
              <w:spacing w:after="0"/>
              <w:rPr>
                <w:rFonts w:asciiTheme="minorHAnsi" w:hAnsiTheme="minorHAnsi"/>
              </w:rPr>
            </w:pPr>
            <w:r w:rsidRPr="00FD0508">
              <w:rPr>
                <w:rFonts w:asciiTheme="minorHAnsi" w:hAnsiTheme="minorHAnsi"/>
              </w:rPr>
              <w:t>Autres antidépresseurs</w:t>
            </w:r>
          </w:p>
        </w:tc>
        <w:tc>
          <w:tcPr>
            <w:tcW w:w="4606" w:type="dxa"/>
          </w:tcPr>
          <w:p w:rsidR="00AB78C2" w:rsidRPr="00FD0508" w:rsidRDefault="00AB78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Agomélatine (VALDOXAN®)</w:t>
            </w:r>
          </w:p>
          <w:p w:rsidR="00AB78C2" w:rsidRPr="00FD0508" w:rsidRDefault="00AB78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Miansérine</w:t>
            </w:r>
          </w:p>
          <w:p w:rsidR="00AB78C2" w:rsidRPr="00FD0508" w:rsidRDefault="00AB78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Mirtazapine (NORSET®)</w:t>
            </w:r>
          </w:p>
          <w:p w:rsidR="004E5405" w:rsidRPr="00FD0508" w:rsidRDefault="00AB78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Tianeptine (STABLON®)</w:t>
            </w:r>
          </w:p>
          <w:p w:rsidR="00E35333" w:rsidRPr="00FD0508" w:rsidRDefault="00E35333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Vortioxétine (BRINTELLIX)</w:t>
            </w:r>
          </w:p>
        </w:tc>
      </w:tr>
    </w:tbl>
    <w:p w:rsidR="004E5405" w:rsidRPr="00FD0508" w:rsidRDefault="004E5405" w:rsidP="00FD0508">
      <w:pPr>
        <w:spacing w:after="0"/>
        <w:jc w:val="both"/>
        <w:rPr>
          <w:rFonts w:asciiTheme="minorHAnsi" w:hAnsiTheme="minorHAnsi"/>
        </w:rPr>
      </w:pPr>
    </w:p>
    <w:p w:rsidR="000C266A" w:rsidRPr="00FD0508" w:rsidRDefault="000C266A" w:rsidP="00FD0508">
      <w:pPr>
        <w:spacing w:after="0"/>
        <w:jc w:val="both"/>
        <w:rPr>
          <w:rFonts w:asciiTheme="minorHAnsi" w:hAnsiTheme="minorHAnsi"/>
          <w:b/>
          <w:color w:val="4BACC6" w:themeColor="accent5"/>
          <w:u w:val="single"/>
        </w:rPr>
      </w:pPr>
    </w:p>
    <w:p w:rsidR="000C266A" w:rsidRPr="00FD0508" w:rsidRDefault="000C266A" w:rsidP="00FD0508">
      <w:pPr>
        <w:spacing w:after="0"/>
        <w:jc w:val="both"/>
        <w:rPr>
          <w:rFonts w:asciiTheme="minorHAnsi" w:hAnsiTheme="minorHAnsi"/>
          <w:b/>
          <w:color w:val="4BACC6" w:themeColor="accent5"/>
          <w:u w:val="single"/>
        </w:rPr>
      </w:pPr>
      <w:r w:rsidRPr="00FD0508">
        <w:rPr>
          <w:rFonts w:asciiTheme="minorHAnsi" w:hAnsiTheme="minorHAnsi"/>
          <w:b/>
          <w:color w:val="4BACC6" w:themeColor="accent5"/>
          <w:u w:val="single"/>
        </w:rPr>
        <w:t>NEUROLEPTIQUES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73EC2" w:rsidRPr="00FD0508" w:rsidTr="00101B75">
        <w:tc>
          <w:tcPr>
            <w:tcW w:w="4606" w:type="dxa"/>
            <w:vAlign w:val="center"/>
          </w:tcPr>
          <w:p w:rsidR="00673EC2" w:rsidRPr="00FD0508" w:rsidRDefault="00673EC2" w:rsidP="00FD0508">
            <w:pPr>
              <w:spacing w:after="0"/>
              <w:rPr>
                <w:rFonts w:asciiTheme="minorHAnsi" w:hAnsiTheme="minorHAnsi"/>
              </w:rPr>
            </w:pPr>
            <w:r w:rsidRPr="00FD0508">
              <w:rPr>
                <w:rFonts w:asciiTheme="minorHAnsi" w:hAnsiTheme="minorHAnsi"/>
              </w:rPr>
              <w:t xml:space="preserve">Neuroleptiques </w:t>
            </w:r>
            <w:r w:rsidR="006656F3" w:rsidRPr="00FD0508">
              <w:rPr>
                <w:rFonts w:asciiTheme="minorHAnsi" w:hAnsiTheme="minorHAnsi"/>
              </w:rPr>
              <w:t xml:space="preserve">classiques </w:t>
            </w:r>
            <w:r w:rsidRPr="00FD0508">
              <w:rPr>
                <w:rFonts w:asciiTheme="minorHAnsi" w:hAnsiTheme="minorHAnsi"/>
              </w:rPr>
              <w:t>phénothiaziniques</w:t>
            </w:r>
          </w:p>
        </w:tc>
        <w:tc>
          <w:tcPr>
            <w:tcW w:w="4606" w:type="dxa"/>
          </w:tcPr>
          <w:p w:rsidR="00673EC2" w:rsidRPr="00FD0508" w:rsidRDefault="00673E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Chlorpromazine (LARGACTIL®)</w:t>
            </w:r>
          </w:p>
          <w:p w:rsidR="00673EC2" w:rsidRPr="00FD0508" w:rsidRDefault="00673E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Cyamémazine (TERCIAN®)</w:t>
            </w:r>
          </w:p>
          <w:p w:rsidR="00673EC2" w:rsidRPr="00FD0508" w:rsidRDefault="00673E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Fluphénazine (MODECATE®)</w:t>
            </w:r>
          </w:p>
          <w:p w:rsidR="00673EC2" w:rsidRPr="00FD0508" w:rsidRDefault="00673E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Lévomépromazine (NOZINAN®)</w:t>
            </w:r>
          </w:p>
          <w:p w:rsidR="00673EC2" w:rsidRPr="00FD0508" w:rsidRDefault="00673E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Pipotiazine (PIPORTIL®)</w:t>
            </w:r>
          </w:p>
          <w:p w:rsidR="00673EC2" w:rsidRPr="00FD0508" w:rsidRDefault="00673E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Propéricazine (NEULEPTIL®)</w:t>
            </w:r>
          </w:p>
        </w:tc>
      </w:tr>
      <w:tr w:rsidR="00673EC2" w:rsidRPr="00FC7BAC" w:rsidTr="00101B75">
        <w:tc>
          <w:tcPr>
            <w:tcW w:w="4606" w:type="dxa"/>
            <w:vAlign w:val="center"/>
          </w:tcPr>
          <w:p w:rsidR="00673EC2" w:rsidRPr="00FD0508" w:rsidRDefault="00673EC2" w:rsidP="00FD0508">
            <w:pPr>
              <w:spacing w:after="0"/>
              <w:rPr>
                <w:rFonts w:asciiTheme="minorHAnsi" w:hAnsiTheme="minorHAnsi"/>
              </w:rPr>
            </w:pPr>
            <w:r w:rsidRPr="00FD0508">
              <w:rPr>
                <w:rFonts w:asciiTheme="minorHAnsi" w:hAnsiTheme="minorHAnsi"/>
              </w:rPr>
              <w:t>Neuroleptiques classiques</w:t>
            </w:r>
            <w:r w:rsidR="006656F3" w:rsidRPr="00FD0508">
              <w:rPr>
                <w:rFonts w:asciiTheme="minorHAnsi" w:hAnsiTheme="minorHAnsi"/>
              </w:rPr>
              <w:t xml:space="preserve"> non phénothiaziniques</w:t>
            </w:r>
          </w:p>
        </w:tc>
        <w:tc>
          <w:tcPr>
            <w:tcW w:w="4606" w:type="dxa"/>
          </w:tcPr>
          <w:p w:rsidR="006656F3" w:rsidRPr="00FD0508" w:rsidRDefault="006656F3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Dropéridol (DROLEPTAN®)</w:t>
            </w:r>
          </w:p>
          <w:p w:rsidR="00673EC2" w:rsidRPr="00FD0508" w:rsidRDefault="00673E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Flupentixol (FLUANXOL®, FLUANXOL LP®)</w:t>
            </w:r>
          </w:p>
          <w:p w:rsidR="00673EC2" w:rsidRPr="00FD0508" w:rsidRDefault="00673E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Halopéridol (HALDOL®, HALDOL DECANOAS®)</w:t>
            </w:r>
          </w:p>
          <w:p w:rsidR="006656F3" w:rsidRPr="00FD0508" w:rsidRDefault="006656F3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Loxapine (LOXAPAC®)</w:t>
            </w:r>
          </w:p>
          <w:p w:rsidR="006656F3" w:rsidRPr="00FD0508" w:rsidRDefault="006656F3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Penfluridol (SEMAP®)</w:t>
            </w:r>
          </w:p>
          <w:p w:rsidR="006656F3" w:rsidRPr="00FD0508" w:rsidRDefault="006656F3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Pimozide (ORAP®)</w:t>
            </w:r>
          </w:p>
          <w:p w:rsidR="006656F3" w:rsidRPr="00FD0508" w:rsidRDefault="006656F3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Pipampérone (DIPIPERON®)</w:t>
            </w:r>
          </w:p>
          <w:p w:rsidR="00673EC2" w:rsidRPr="00FD0508" w:rsidRDefault="00673E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Pipotiazine (PIPORTIL®)</w:t>
            </w:r>
          </w:p>
          <w:p w:rsidR="006656F3" w:rsidRPr="00FD0508" w:rsidRDefault="006656F3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Sulpiride (DOGMATIL®)</w:t>
            </w:r>
          </w:p>
          <w:p w:rsidR="006656F3" w:rsidRPr="00FD0508" w:rsidRDefault="006656F3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Tiapride (TIAPRIDAL®)</w:t>
            </w:r>
          </w:p>
          <w:p w:rsidR="00673EC2" w:rsidRPr="00FD0508" w:rsidRDefault="00673E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 xml:space="preserve">Zuclopenthixol (CLOPIXOL®, CLOPIXOL </w:t>
            </w:r>
            <w:r w:rsidR="006656F3"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AP ou ASP)</w:t>
            </w:r>
          </w:p>
        </w:tc>
      </w:tr>
      <w:tr w:rsidR="00673EC2" w:rsidRPr="00FD0508" w:rsidTr="00101B75">
        <w:tc>
          <w:tcPr>
            <w:tcW w:w="4606" w:type="dxa"/>
            <w:vAlign w:val="center"/>
          </w:tcPr>
          <w:p w:rsidR="00673EC2" w:rsidRPr="00FD0508" w:rsidRDefault="00673EC2" w:rsidP="00FD0508">
            <w:pPr>
              <w:spacing w:after="0"/>
              <w:rPr>
                <w:rFonts w:asciiTheme="minorHAnsi" w:hAnsiTheme="minorHAnsi"/>
              </w:rPr>
            </w:pPr>
            <w:r w:rsidRPr="00FD0508">
              <w:rPr>
                <w:rFonts w:asciiTheme="minorHAnsi" w:hAnsiTheme="minorHAnsi"/>
              </w:rPr>
              <w:lastRenderedPageBreak/>
              <w:t>Neuroleptiques atypiques</w:t>
            </w:r>
          </w:p>
        </w:tc>
        <w:tc>
          <w:tcPr>
            <w:tcW w:w="4606" w:type="dxa"/>
          </w:tcPr>
          <w:p w:rsidR="00673EC2" w:rsidRPr="00FD0508" w:rsidRDefault="00673E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Amisulpride (SOLIAN®)</w:t>
            </w:r>
          </w:p>
          <w:p w:rsidR="00673EC2" w:rsidRPr="00FD0508" w:rsidRDefault="00673E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Aripiprazole (ABILIFY®, ABILIFY MAINTENA)</w:t>
            </w:r>
          </w:p>
          <w:p w:rsidR="00673EC2" w:rsidRPr="00FD0508" w:rsidRDefault="00673E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Clozapine (LEPONEX®)</w:t>
            </w:r>
          </w:p>
          <w:p w:rsidR="00673EC2" w:rsidRPr="00FD0508" w:rsidRDefault="00673E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Olanzapine (ZYPREXA®, ZYPADHERA®)</w:t>
            </w:r>
          </w:p>
          <w:p w:rsidR="006656F3" w:rsidRPr="00FD0508" w:rsidRDefault="006656F3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Palipéridone (TREVICTA®, XEPLION®)</w:t>
            </w:r>
          </w:p>
          <w:p w:rsidR="00673EC2" w:rsidRPr="00FD0508" w:rsidRDefault="00673E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Quétiapine (XEROQUEL®)</w:t>
            </w:r>
          </w:p>
          <w:p w:rsidR="00673EC2" w:rsidRPr="00FD0508" w:rsidRDefault="00673EC2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Rispéridone (RISPERDAL®, RISPERDALCONSTA®)</w:t>
            </w:r>
          </w:p>
        </w:tc>
      </w:tr>
    </w:tbl>
    <w:p w:rsidR="00CF2A65" w:rsidRPr="00FD0508" w:rsidRDefault="00CF2A65" w:rsidP="00FD0508">
      <w:pPr>
        <w:spacing w:after="0" w:line="288" w:lineRule="atLeast"/>
        <w:jc w:val="both"/>
        <w:rPr>
          <w:rFonts w:asciiTheme="minorHAnsi" w:hAnsiTheme="minorHAnsi"/>
        </w:rPr>
      </w:pPr>
    </w:p>
    <w:p w:rsidR="00AB78C2" w:rsidRPr="00FD0508" w:rsidRDefault="00AB78C2" w:rsidP="00FD0508">
      <w:pPr>
        <w:spacing w:after="0" w:line="288" w:lineRule="atLeast"/>
        <w:jc w:val="both"/>
        <w:rPr>
          <w:rFonts w:asciiTheme="minorHAnsi" w:hAnsiTheme="minorHAnsi"/>
        </w:rPr>
      </w:pPr>
    </w:p>
    <w:p w:rsidR="00C75DD7" w:rsidRPr="00FD0508" w:rsidRDefault="00C75DD7" w:rsidP="00FD0508">
      <w:pPr>
        <w:spacing w:after="0"/>
        <w:jc w:val="both"/>
        <w:rPr>
          <w:rFonts w:asciiTheme="minorHAnsi" w:hAnsiTheme="minorHAnsi"/>
          <w:b/>
          <w:color w:val="4BACC6" w:themeColor="accent5"/>
          <w:u w:val="single"/>
        </w:rPr>
      </w:pPr>
      <w:r w:rsidRPr="00FD0508">
        <w:rPr>
          <w:rFonts w:asciiTheme="minorHAnsi" w:hAnsiTheme="minorHAnsi"/>
          <w:b/>
          <w:color w:val="4BACC6" w:themeColor="accent5"/>
          <w:u w:val="single"/>
        </w:rPr>
        <w:t>BENZODIAZEPINES ET APPARENTES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75DD7" w:rsidRPr="00FD0508" w:rsidTr="00101B75">
        <w:tc>
          <w:tcPr>
            <w:tcW w:w="4606" w:type="dxa"/>
            <w:vAlign w:val="center"/>
          </w:tcPr>
          <w:p w:rsidR="00C75DD7" w:rsidRPr="00FD0508" w:rsidRDefault="000949BF" w:rsidP="00FD0508">
            <w:pPr>
              <w:spacing w:after="0"/>
              <w:rPr>
                <w:rFonts w:asciiTheme="minorHAnsi" w:hAnsiTheme="minorHAnsi"/>
              </w:rPr>
            </w:pPr>
            <w:r w:rsidRPr="00FD0508">
              <w:rPr>
                <w:rFonts w:asciiTheme="minorHAnsi" w:hAnsiTheme="minorHAnsi"/>
              </w:rPr>
              <w:t>Benzodiazépines et apparentés</w:t>
            </w:r>
            <w:r w:rsidR="00F244E1" w:rsidRPr="00FD0508">
              <w:rPr>
                <w:rFonts w:asciiTheme="minorHAnsi" w:hAnsiTheme="minorHAnsi"/>
              </w:rPr>
              <w:t xml:space="preserve"> à demi-vie longue (</w:t>
            </w:r>
            <w:r w:rsidR="000524D8" w:rsidRPr="00FD0508">
              <w:t>≥</w:t>
            </w:r>
            <w:r w:rsidR="00F244E1" w:rsidRPr="00FD0508">
              <w:t xml:space="preserve"> 20 heures)</w:t>
            </w:r>
          </w:p>
        </w:tc>
        <w:tc>
          <w:tcPr>
            <w:tcW w:w="4606" w:type="dxa"/>
          </w:tcPr>
          <w:p w:rsidR="0031300B" w:rsidRPr="00FD0508" w:rsidRDefault="0031300B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Bromazépam (LEXOMIL®)</w:t>
            </w:r>
          </w:p>
          <w:p w:rsidR="0031300B" w:rsidRPr="00FD0508" w:rsidRDefault="0031300B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Chlordiazépoxide (LIBRAX®)</w:t>
            </w:r>
          </w:p>
          <w:p w:rsidR="0031300B" w:rsidRPr="00FD0508" w:rsidRDefault="0031300B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Clobazam (URBANYL®)</w:t>
            </w:r>
          </w:p>
          <w:p w:rsidR="0031300B" w:rsidRPr="00FD0508" w:rsidRDefault="0031300B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Clonazépam (RIVOTRIL®)</w:t>
            </w:r>
          </w:p>
          <w:p w:rsidR="0031300B" w:rsidRPr="00FD0508" w:rsidRDefault="0031300B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Clorazépate dipotassique (TRANXENE®)</w:t>
            </w:r>
          </w:p>
          <w:p w:rsidR="0031300B" w:rsidRPr="00FD0508" w:rsidRDefault="0031300B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Diazépam (VALIUM®)</w:t>
            </w:r>
          </w:p>
          <w:p w:rsidR="0031300B" w:rsidRPr="00FD0508" w:rsidRDefault="0031300B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sz w:val="18"/>
                <w:szCs w:val="19"/>
                <w:lang w:eastAsia="fr-FR"/>
              </w:rPr>
              <w:t>Estazolam (NUCTALON®)</w:t>
            </w:r>
          </w:p>
          <w:p w:rsidR="00F244E1" w:rsidRPr="00FD0508" w:rsidRDefault="00F244E1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Flunitrazépam (ROHYPNOL</w:t>
            </w:r>
            <w:r w:rsidR="0031300B"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®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)</w:t>
            </w:r>
          </w:p>
          <w:p w:rsidR="0031300B" w:rsidRPr="00FD0508" w:rsidRDefault="0031300B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Loflazépate d’éthyle (VICTAN®)</w:t>
            </w:r>
          </w:p>
          <w:p w:rsidR="00F244E1" w:rsidRPr="00FD0508" w:rsidRDefault="00F244E1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Nitrazépam (MOGADON®)</w:t>
            </w:r>
          </w:p>
          <w:p w:rsidR="0031300B" w:rsidRPr="00FD0508" w:rsidRDefault="0031300B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Nordazépam (NORDAZ®)</w:t>
            </w:r>
          </w:p>
          <w:p w:rsidR="00F244E1" w:rsidRPr="00FD0508" w:rsidRDefault="00F244E1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Prazépam (LYSANXIA®)</w:t>
            </w:r>
          </w:p>
        </w:tc>
      </w:tr>
      <w:tr w:rsidR="00C75DD7" w:rsidRPr="00FD0508" w:rsidTr="00101B75">
        <w:tc>
          <w:tcPr>
            <w:tcW w:w="4606" w:type="dxa"/>
            <w:vAlign w:val="center"/>
          </w:tcPr>
          <w:p w:rsidR="00C75DD7" w:rsidRPr="00FD0508" w:rsidRDefault="000949BF" w:rsidP="00FD0508">
            <w:pPr>
              <w:spacing w:after="0"/>
              <w:rPr>
                <w:rFonts w:asciiTheme="minorHAnsi" w:hAnsiTheme="minorHAnsi"/>
              </w:rPr>
            </w:pPr>
            <w:r w:rsidRPr="00FD0508">
              <w:rPr>
                <w:rFonts w:asciiTheme="minorHAnsi" w:hAnsiTheme="minorHAnsi"/>
              </w:rPr>
              <w:t>Benzodiazépines et apparentés à demi-vie courte (&lt;</w:t>
            </w:r>
            <w:r w:rsidRPr="00FD0508">
              <w:t xml:space="preserve"> 20 heures)</w:t>
            </w:r>
          </w:p>
        </w:tc>
        <w:tc>
          <w:tcPr>
            <w:tcW w:w="4606" w:type="dxa"/>
          </w:tcPr>
          <w:p w:rsidR="00C75DD7" w:rsidRPr="00FD0508" w:rsidRDefault="00F244E1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Alprazolam (XANAX</w:t>
            </w:r>
            <w:r w:rsidR="0031300B"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®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)</w:t>
            </w:r>
          </w:p>
          <w:p w:rsidR="00F244E1" w:rsidRPr="00FD0508" w:rsidRDefault="00F244E1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Clotiazépam (VERATRAN</w:t>
            </w:r>
            <w:r w:rsidR="0031300B"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®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)</w:t>
            </w:r>
          </w:p>
          <w:p w:rsidR="0031300B" w:rsidRPr="00FD0508" w:rsidRDefault="0031300B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Loprazolam (HAVLANE®)</w:t>
            </w:r>
          </w:p>
          <w:p w:rsidR="00F244E1" w:rsidRPr="00FD0508" w:rsidRDefault="00F244E1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Lorazépam (TEMESTA</w:t>
            </w:r>
            <w:r w:rsidR="0031300B"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®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)</w:t>
            </w:r>
          </w:p>
          <w:p w:rsidR="0031300B" w:rsidRPr="00FD0508" w:rsidRDefault="0031300B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Lormétazépam (NOCTAMIDE®)</w:t>
            </w:r>
          </w:p>
          <w:p w:rsidR="00F244E1" w:rsidRPr="00FD0508" w:rsidRDefault="00F244E1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Oxazépam (SERESTA</w:t>
            </w:r>
            <w:r w:rsidR="0031300B"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®</w:t>
            </w: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)</w:t>
            </w:r>
          </w:p>
          <w:p w:rsidR="00F244E1" w:rsidRPr="00FD0508" w:rsidRDefault="00F244E1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>Zolpidem</w:t>
            </w:r>
            <w:r w:rsidR="0031300B"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val="en-US" w:eastAsia="fr-FR"/>
              </w:rPr>
              <w:t xml:space="preserve"> (STILNOX®)</w:t>
            </w:r>
          </w:p>
          <w:p w:rsidR="00F244E1" w:rsidRPr="00FD0508" w:rsidRDefault="00F244E1" w:rsidP="00FD0508">
            <w:pPr>
              <w:spacing w:after="0" w:line="288" w:lineRule="atLeast"/>
              <w:jc w:val="both"/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</w:pPr>
            <w:r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>Zopiclone</w:t>
            </w:r>
            <w:r w:rsidR="0031300B" w:rsidRPr="00FD0508">
              <w:rPr>
                <w:rFonts w:asciiTheme="minorHAnsi" w:eastAsia="Times New Roman" w:hAnsiTheme="minorHAnsi" w:cs="Arial"/>
                <w:color w:val="000000"/>
                <w:sz w:val="18"/>
                <w:szCs w:val="19"/>
                <w:lang w:eastAsia="fr-FR"/>
              </w:rPr>
              <w:t xml:space="preserve"> (IMOVANE®)</w:t>
            </w:r>
          </w:p>
        </w:tc>
      </w:tr>
    </w:tbl>
    <w:p w:rsidR="00AB78C2" w:rsidRPr="00FD0508" w:rsidRDefault="00AB78C2" w:rsidP="00FD0508">
      <w:pPr>
        <w:spacing w:after="0" w:line="288" w:lineRule="atLeast"/>
        <w:jc w:val="both"/>
        <w:rPr>
          <w:rFonts w:asciiTheme="minorHAnsi" w:hAnsiTheme="minorHAnsi"/>
        </w:rPr>
      </w:pPr>
    </w:p>
    <w:p w:rsidR="00AB78C2" w:rsidRPr="00FD0508" w:rsidRDefault="00AB78C2" w:rsidP="00FD0508">
      <w:pPr>
        <w:spacing w:after="0" w:line="288" w:lineRule="atLeast"/>
        <w:jc w:val="both"/>
        <w:rPr>
          <w:rFonts w:asciiTheme="minorHAnsi" w:hAnsiTheme="minorHAnsi"/>
        </w:rPr>
      </w:pPr>
    </w:p>
    <w:p w:rsidR="00AB78C2" w:rsidRPr="00FD0508" w:rsidRDefault="0031300B" w:rsidP="00FD0508">
      <w:pPr>
        <w:spacing w:after="0"/>
        <w:jc w:val="both"/>
        <w:rPr>
          <w:rFonts w:asciiTheme="minorHAnsi" w:hAnsiTheme="minorHAnsi"/>
          <w:b/>
          <w:color w:val="4BACC6" w:themeColor="accent5"/>
          <w:u w:val="single"/>
        </w:rPr>
      </w:pPr>
      <w:r w:rsidRPr="00FD0508">
        <w:rPr>
          <w:rFonts w:asciiTheme="minorHAnsi" w:hAnsiTheme="minorHAnsi"/>
          <w:b/>
          <w:color w:val="4BACC6" w:themeColor="accent5"/>
          <w:u w:val="single"/>
        </w:rPr>
        <w:t>PSYCHOTROPES AYANT DES PROPRIETES ANTICHOLINERGIQUES</w:t>
      </w:r>
    </w:p>
    <w:p w:rsidR="007A690E" w:rsidRPr="00FD0508" w:rsidRDefault="007A690E" w:rsidP="00FD0508">
      <w:pPr>
        <w:pStyle w:val="Paragraphedeliste"/>
        <w:numPr>
          <w:ilvl w:val="0"/>
          <w:numId w:val="14"/>
        </w:numPr>
        <w:spacing w:after="0" w:line="288" w:lineRule="atLeast"/>
        <w:jc w:val="both"/>
        <w:rPr>
          <w:rFonts w:asciiTheme="minorHAnsi" w:eastAsia="Times New Roman" w:hAnsiTheme="minorHAnsi" w:cs="Arial"/>
          <w:color w:val="000000"/>
          <w:sz w:val="19"/>
          <w:szCs w:val="19"/>
          <w:lang w:eastAsia="fr-FR"/>
        </w:rPr>
      </w:pPr>
      <w:r w:rsidRPr="00FD0508">
        <w:rPr>
          <w:rFonts w:asciiTheme="minorHAnsi" w:eastAsia="Times New Roman" w:hAnsiTheme="minorHAnsi" w:cs="Arial"/>
          <w:color w:val="000000"/>
          <w:sz w:val="19"/>
          <w:szCs w:val="19"/>
          <w:lang w:eastAsia="fr-FR"/>
        </w:rPr>
        <w:t>Antidépresseurs imipraminiques</w:t>
      </w:r>
    </w:p>
    <w:p w:rsidR="007A690E" w:rsidRPr="00FD0508" w:rsidRDefault="007A690E" w:rsidP="00FD0508">
      <w:pPr>
        <w:pStyle w:val="Paragraphedeliste"/>
        <w:numPr>
          <w:ilvl w:val="0"/>
          <w:numId w:val="14"/>
        </w:numPr>
        <w:spacing w:after="0" w:line="288" w:lineRule="atLeast"/>
        <w:jc w:val="both"/>
        <w:rPr>
          <w:rFonts w:asciiTheme="minorHAnsi" w:eastAsia="Times New Roman" w:hAnsiTheme="minorHAnsi" w:cs="Arial"/>
          <w:color w:val="000000"/>
          <w:sz w:val="19"/>
          <w:szCs w:val="19"/>
          <w:lang w:eastAsia="fr-FR"/>
        </w:rPr>
      </w:pPr>
      <w:r w:rsidRPr="00FD0508">
        <w:rPr>
          <w:rFonts w:asciiTheme="minorHAnsi" w:eastAsia="Times New Roman" w:hAnsiTheme="minorHAnsi" w:cs="Arial"/>
          <w:color w:val="000000"/>
          <w:sz w:val="19"/>
          <w:szCs w:val="19"/>
          <w:lang w:eastAsia="fr-FR"/>
        </w:rPr>
        <w:t xml:space="preserve">Neuroleptiques </w:t>
      </w:r>
      <w:r w:rsidR="007A1364" w:rsidRPr="00FD0508">
        <w:rPr>
          <w:rFonts w:asciiTheme="minorHAnsi" w:eastAsia="Times New Roman" w:hAnsiTheme="minorHAnsi" w:cs="Arial"/>
          <w:color w:val="000000"/>
          <w:sz w:val="19"/>
          <w:szCs w:val="19"/>
          <w:lang w:eastAsia="fr-FR"/>
        </w:rPr>
        <w:t>phénothiaziniques </w:t>
      </w:r>
    </w:p>
    <w:p w:rsidR="00D54DE7" w:rsidRPr="00FD0508" w:rsidRDefault="007A690E" w:rsidP="00FD0508">
      <w:pPr>
        <w:pStyle w:val="Paragraphedeliste"/>
        <w:numPr>
          <w:ilvl w:val="0"/>
          <w:numId w:val="14"/>
        </w:numPr>
        <w:spacing w:after="0" w:line="288" w:lineRule="atLeast"/>
        <w:jc w:val="both"/>
        <w:rPr>
          <w:rFonts w:asciiTheme="minorHAnsi" w:eastAsia="Times New Roman" w:hAnsiTheme="minorHAnsi" w:cs="Arial"/>
          <w:color w:val="000000"/>
          <w:sz w:val="19"/>
          <w:szCs w:val="19"/>
          <w:lang w:eastAsia="fr-FR"/>
        </w:rPr>
      </w:pPr>
      <w:r w:rsidRPr="00FD0508">
        <w:rPr>
          <w:rFonts w:asciiTheme="minorHAnsi" w:eastAsia="Times New Roman" w:hAnsiTheme="minorHAnsi" w:cs="Arial"/>
          <w:color w:val="000000"/>
          <w:sz w:val="19"/>
          <w:szCs w:val="19"/>
          <w:lang w:eastAsia="fr-FR"/>
        </w:rPr>
        <w:t>Hypnotiques aux propr</w:t>
      </w:r>
      <w:r w:rsidR="007A1364" w:rsidRPr="00FD0508">
        <w:rPr>
          <w:rFonts w:asciiTheme="minorHAnsi" w:eastAsia="Times New Roman" w:hAnsiTheme="minorHAnsi" w:cs="Arial"/>
          <w:color w:val="000000"/>
          <w:sz w:val="19"/>
          <w:szCs w:val="19"/>
          <w:lang w:eastAsia="fr-FR"/>
        </w:rPr>
        <w:t xml:space="preserve">iétés anticholinergiques : </w:t>
      </w:r>
      <w:r w:rsidR="00C40E6C" w:rsidRPr="00FD0508">
        <w:rPr>
          <w:rFonts w:asciiTheme="minorHAnsi" w:eastAsia="Times New Roman" w:hAnsiTheme="minorHAnsi" w:cs="Arial"/>
          <w:color w:val="000000"/>
          <w:sz w:val="19"/>
          <w:szCs w:val="19"/>
          <w:lang w:eastAsia="fr-FR"/>
        </w:rPr>
        <w:t>Alimémazine</w:t>
      </w:r>
      <w:r w:rsidRPr="00FD0508">
        <w:rPr>
          <w:rFonts w:asciiTheme="minorHAnsi" w:eastAsia="Times New Roman" w:hAnsiTheme="minorHAnsi" w:cs="Arial"/>
          <w:color w:val="000000"/>
          <w:sz w:val="19"/>
          <w:szCs w:val="19"/>
          <w:lang w:eastAsia="fr-FR"/>
        </w:rPr>
        <w:t xml:space="preserve"> (THERALENE®)</w:t>
      </w:r>
      <w:r w:rsidR="00DC7393" w:rsidRPr="00FD0508">
        <w:rPr>
          <w:rFonts w:asciiTheme="minorHAnsi" w:eastAsia="Times New Roman" w:hAnsiTheme="minorHAnsi" w:cs="Arial"/>
          <w:color w:val="000000"/>
          <w:sz w:val="19"/>
          <w:szCs w:val="19"/>
          <w:lang w:eastAsia="fr-FR"/>
        </w:rPr>
        <w:t>, Doxylamine (DONORMYL®)</w:t>
      </w:r>
    </w:p>
    <w:p w:rsidR="00D54DE7" w:rsidRPr="00FC7BAC" w:rsidRDefault="00D54DE7" w:rsidP="00FD0508">
      <w:pPr>
        <w:pStyle w:val="Paragraphedeliste"/>
        <w:numPr>
          <w:ilvl w:val="0"/>
          <w:numId w:val="14"/>
        </w:numPr>
        <w:spacing w:after="0" w:line="288" w:lineRule="atLeast"/>
        <w:jc w:val="both"/>
        <w:rPr>
          <w:rFonts w:asciiTheme="minorHAnsi" w:eastAsia="Times New Roman" w:hAnsiTheme="minorHAnsi" w:cs="Arial"/>
          <w:color w:val="000000"/>
          <w:sz w:val="19"/>
          <w:szCs w:val="19"/>
          <w:lang w:eastAsia="fr-FR"/>
        </w:rPr>
      </w:pPr>
      <w:r w:rsidRPr="00FD0508">
        <w:rPr>
          <w:rFonts w:asciiTheme="minorHAnsi" w:eastAsia="Times New Roman" w:hAnsiTheme="minorHAnsi" w:cs="Arial"/>
          <w:color w:val="000000"/>
          <w:sz w:val="19"/>
          <w:szCs w:val="19"/>
          <w:lang w:eastAsia="fr-FR"/>
        </w:rPr>
        <w:t xml:space="preserve">Anxiolytique aux propriétés anticholinergiques : </w:t>
      </w:r>
      <w:r w:rsidR="00DC7393" w:rsidRPr="00FD0508">
        <w:rPr>
          <w:rFonts w:asciiTheme="minorHAnsi" w:hAnsiTheme="minorHAnsi"/>
          <w:sz w:val="20"/>
          <w:szCs w:val="20"/>
        </w:rPr>
        <w:t>Hydroxyzine (ATARAX</w:t>
      </w:r>
      <w:r w:rsidR="00DC7393" w:rsidRPr="00FD0508">
        <w:rPr>
          <w:rFonts w:asciiTheme="minorHAnsi" w:eastAsia="Times New Roman" w:hAnsiTheme="minorHAnsi" w:cs="Arial"/>
          <w:sz w:val="19"/>
          <w:szCs w:val="19"/>
          <w:vertAlign w:val="superscript"/>
        </w:rPr>
        <w:t>®</w:t>
      </w:r>
      <w:r w:rsidR="00DC7393" w:rsidRPr="00FD0508">
        <w:rPr>
          <w:rFonts w:asciiTheme="minorHAnsi" w:hAnsiTheme="minorHAnsi"/>
          <w:sz w:val="20"/>
          <w:szCs w:val="20"/>
        </w:rPr>
        <w:t>)</w:t>
      </w:r>
    </w:p>
    <w:p w:rsidR="00FC7BAC" w:rsidRDefault="00FC7BAC" w:rsidP="00FC7BAC">
      <w:pPr>
        <w:pStyle w:val="Paragraphedeliste"/>
        <w:spacing w:after="0" w:line="288" w:lineRule="atLeast"/>
        <w:jc w:val="both"/>
        <w:rPr>
          <w:rFonts w:asciiTheme="minorHAnsi" w:eastAsia="Times New Roman" w:hAnsiTheme="minorHAnsi" w:cs="Arial"/>
          <w:color w:val="000000"/>
          <w:sz w:val="19"/>
          <w:szCs w:val="19"/>
          <w:lang w:eastAsia="fr-FR"/>
        </w:rPr>
      </w:pPr>
    </w:p>
    <w:p w:rsidR="00FC7BAC" w:rsidRDefault="00FC7BAC" w:rsidP="00FC7BAC">
      <w:pPr>
        <w:pStyle w:val="Paragraphedeliste"/>
        <w:spacing w:after="0" w:line="288" w:lineRule="atLeast"/>
        <w:ind w:left="0"/>
        <w:jc w:val="both"/>
        <w:rPr>
          <w:rFonts w:asciiTheme="minorHAnsi" w:eastAsia="Times New Roman" w:hAnsiTheme="minorHAnsi" w:cs="Arial"/>
          <w:b/>
          <w:color w:val="4BACC6" w:themeColor="accent5"/>
          <w:szCs w:val="19"/>
          <w:u w:val="single"/>
          <w:lang w:eastAsia="fr-FR"/>
        </w:rPr>
      </w:pPr>
      <w:r w:rsidRPr="00FC7BAC">
        <w:rPr>
          <w:rFonts w:asciiTheme="minorHAnsi" w:eastAsia="Times New Roman" w:hAnsiTheme="minorHAnsi" w:cs="Arial"/>
          <w:b/>
          <w:color w:val="4BACC6" w:themeColor="accent5"/>
          <w:szCs w:val="19"/>
          <w:u w:val="single"/>
          <w:lang w:eastAsia="fr-FR"/>
        </w:rPr>
        <w:t>MEDICAMENTS AYANT DE PROPRIETES ANTICHOLINERGIQUES NON PSYCHOTROPES</w:t>
      </w:r>
      <w:r>
        <w:rPr>
          <w:rFonts w:asciiTheme="minorHAnsi" w:eastAsia="Times New Roman" w:hAnsiTheme="minorHAnsi" w:cs="Arial"/>
          <w:b/>
          <w:color w:val="4BACC6" w:themeColor="accent5"/>
          <w:szCs w:val="19"/>
          <w:u w:val="single"/>
          <w:lang w:eastAsia="fr-FR"/>
        </w:rPr>
        <w:t> :</w:t>
      </w:r>
    </w:p>
    <w:p w:rsidR="00FC7BAC" w:rsidRPr="00FC7BAC" w:rsidRDefault="00FC7BAC" w:rsidP="00FC7BAC">
      <w:pPr>
        <w:pStyle w:val="Paragraphedeliste"/>
        <w:numPr>
          <w:ilvl w:val="0"/>
          <w:numId w:val="21"/>
        </w:numPr>
        <w:spacing w:after="0" w:line="288" w:lineRule="atLeast"/>
        <w:jc w:val="both"/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</w:pPr>
      <w:r w:rsidRPr="00FC7BAC"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  <w:t>Antispasmodiques urinaires : Oxybutynine (DITROPAN®, DRIPTANE®), Solifénacine (VESICARE®), Toltérodine L-Tartrate (DETRUSITOL®)</w:t>
      </w:r>
      <w:r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  <w:t>, Fésotérodine (TOVIAZ®), Flavoxate (URISPAS®), Chlorure de Trospium (CERIS®, TROSPIPHARM®)</w:t>
      </w:r>
    </w:p>
    <w:p w:rsidR="00FC7BAC" w:rsidRPr="002657C0" w:rsidRDefault="00FC7BAC" w:rsidP="00FC7BAC">
      <w:pPr>
        <w:pStyle w:val="Paragraphedeliste"/>
        <w:numPr>
          <w:ilvl w:val="0"/>
          <w:numId w:val="21"/>
        </w:numPr>
        <w:spacing w:after="0" w:line="288" w:lineRule="atLeast"/>
        <w:jc w:val="both"/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</w:pPr>
      <w:r w:rsidRPr="002657C0"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  <w:t>Antalgique : Néfopam (ACUPAN®)</w:t>
      </w:r>
    </w:p>
    <w:p w:rsidR="00FC7BAC" w:rsidRDefault="00FC7BAC" w:rsidP="00FC7BAC">
      <w:pPr>
        <w:pStyle w:val="Paragraphedeliste"/>
        <w:numPr>
          <w:ilvl w:val="0"/>
          <w:numId w:val="21"/>
        </w:numPr>
        <w:spacing w:after="0" w:line="288" w:lineRule="atLeast"/>
        <w:jc w:val="both"/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</w:pPr>
      <w:r w:rsidRPr="002657C0"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  <w:t>Anti arythmique</w:t>
      </w:r>
      <w:r w:rsidR="002657C0" w:rsidRPr="002657C0"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  <w:t> : Disopyramide (ISORYTHM®, RYTHMODAN®)</w:t>
      </w:r>
    </w:p>
    <w:p w:rsidR="002657C0" w:rsidRDefault="002657C0" w:rsidP="002657C0">
      <w:pPr>
        <w:pStyle w:val="Paragraphedeliste"/>
        <w:numPr>
          <w:ilvl w:val="0"/>
          <w:numId w:val="21"/>
        </w:numPr>
        <w:spacing w:after="0" w:line="288" w:lineRule="atLeast"/>
        <w:jc w:val="both"/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</w:pPr>
      <w:r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  <w:t>Anticholinergiques centraux : Bipéridène (AKINETON®), Trihexyphénidyle (PARKINANE®, ARTANE®), Tropatépine (LEPTICUR®)</w:t>
      </w:r>
    </w:p>
    <w:p w:rsidR="002657C0" w:rsidRDefault="002657C0" w:rsidP="002657C0">
      <w:pPr>
        <w:pStyle w:val="Paragraphedeliste"/>
        <w:numPr>
          <w:ilvl w:val="0"/>
          <w:numId w:val="21"/>
        </w:numPr>
        <w:spacing w:after="0" w:line="288" w:lineRule="atLeast"/>
        <w:jc w:val="both"/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</w:pPr>
      <w:r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  <w:t xml:space="preserve">Anticholinergiques périphériques : Atropine Injectable, Scopolamine </w:t>
      </w:r>
    </w:p>
    <w:p w:rsidR="002657C0" w:rsidRDefault="002657C0" w:rsidP="002657C0">
      <w:pPr>
        <w:pStyle w:val="Paragraphedeliste"/>
        <w:numPr>
          <w:ilvl w:val="0"/>
          <w:numId w:val="21"/>
        </w:numPr>
        <w:spacing w:after="0" w:line="288" w:lineRule="atLeast"/>
        <w:jc w:val="both"/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</w:pPr>
      <w:r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  <w:lastRenderedPageBreak/>
        <w:t xml:space="preserve">Antispasmodiques gastrointestinaux : Scopolamine (SCOBUREN®, SCOPODERM®), </w:t>
      </w:r>
      <w:r w:rsidRPr="002657C0"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  <w:t>Clidinium bromure-chlordiazépoxide</w:t>
      </w:r>
      <w:r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  <w:t xml:space="preserve"> (LIBRAX®)</w:t>
      </w:r>
    </w:p>
    <w:p w:rsidR="002657C0" w:rsidRDefault="002657C0" w:rsidP="002657C0">
      <w:pPr>
        <w:pStyle w:val="Paragraphedeliste"/>
        <w:numPr>
          <w:ilvl w:val="0"/>
          <w:numId w:val="21"/>
        </w:numPr>
        <w:spacing w:after="0" w:line="288" w:lineRule="atLeast"/>
        <w:jc w:val="both"/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</w:pPr>
      <w:r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  <w:t>Antipaludiques : Quinidine (QUINIMAX®)</w:t>
      </w:r>
    </w:p>
    <w:p w:rsidR="002657C0" w:rsidRDefault="002657C0" w:rsidP="002657C0">
      <w:pPr>
        <w:pStyle w:val="Paragraphedeliste"/>
        <w:numPr>
          <w:ilvl w:val="0"/>
          <w:numId w:val="21"/>
        </w:numPr>
        <w:spacing w:after="0" w:line="288" w:lineRule="atLeast"/>
        <w:jc w:val="both"/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</w:pPr>
      <w:r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  <w:t>Antimigraineux : Pizotifène (SANMIGRAN®)</w:t>
      </w:r>
    </w:p>
    <w:p w:rsidR="002657C0" w:rsidRPr="002657C0" w:rsidRDefault="002657C0" w:rsidP="002657C0">
      <w:pPr>
        <w:pStyle w:val="Paragraphedeliste"/>
        <w:numPr>
          <w:ilvl w:val="0"/>
          <w:numId w:val="21"/>
        </w:numPr>
        <w:spacing w:after="0" w:line="288" w:lineRule="atLeast"/>
        <w:jc w:val="both"/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</w:pPr>
      <w:r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  <w:t>An</w:t>
      </w:r>
      <w:r w:rsidR="00727833">
        <w:rPr>
          <w:rFonts w:asciiTheme="minorHAnsi" w:eastAsia="Times New Roman" w:hAnsiTheme="minorHAnsi" w:cs="Arial"/>
          <w:color w:val="000000" w:themeColor="text1"/>
          <w:sz w:val="19"/>
          <w:szCs w:val="19"/>
          <w:lang w:eastAsia="fr-FR"/>
        </w:rPr>
        <w:t>tihistaminiques aux propriétés anticholinergiques : Diménhydrinate (MERCALM®, NAUSICALM®), Diphénhydramine(NAUTAMINE®, ACTIFED JOUR ET NUIT®), Méclozine (AGYRAX®), Pimethyxène (CALMIXENE®), Prométhazine (FLUISEDAL®, RHINATIOL®,TUSSISEDAL®), Oxomémazine (HUMEX®,TOPLEXIL®), Phéniramine (FERVEX®, FERVEX RHUME®), Tripolidine (ACTIFED RHUME®), Chlorphénamine (CLARIX ETAT GRIPPAL®), Cyproheptadine (PERIACTINE®), Bromphéniramine (DIMEGAN®), Méquitazine (PRIMALAN®)</w:t>
      </w:r>
      <w:bookmarkStart w:id="0" w:name="_GoBack"/>
      <w:bookmarkEnd w:id="0"/>
    </w:p>
    <w:sectPr w:rsidR="002657C0" w:rsidRPr="002657C0" w:rsidSect="00C215A4">
      <w:headerReference w:type="default" r:id="rId9"/>
      <w:footerReference w:type="defaul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C0" w:rsidRDefault="002657C0">
      <w:pPr>
        <w:spacing w:after="0" w:line="240" w:lineRule="auto"/>
      </w:pPr>
      <w:r>
        <w:separator/>
      </w:r>
    </w:p>
  </w:endnote>
  <w:endnote w:type="continuationSeparator" w:id="0">
    <w:p w:rsidR="002657C0" w:rsidRDefault="0026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576013"/>
      <w:docPartObj>
        <w:docPartGallery w:val="Page Numbers (Bottom of Page)"/>
        <w:docPartUnique/>
      </w:docPartObj>
    </w:sdtPr>
    <w:sdtContent>
      <w:p w:rsidR="002657C0" w:rsidRDefault="002657C0" w:rsidP="00EA5451">
        <w:pPr>
          <w:pStyle w:val="Pieddepage"/>
          <w:tabs>
            <w:tab w:val="left" w:pos="420"/>
          </w:tabs>
        </w:pPr>
        <w:fldSimple w:instr=" FILENAME  \* FirstCap  \* MERGEFORMAT ">
          <w:r>
            <w:rPr>
              <w:noProof/>
            </w:rPr>
            <w:t>20190607 Grille audit.docx</w:t>
          </w:r>
        </w:fldSimple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780D">
          <w:rPr>
            <w:noProof/>
          </w:rPr>
          <w:t>6</w:t>
        </w:r>
        <w:r>
          <w:fldChar w:fldCharType="end"/>
        </w:r>
      </w:p>
    </w:sdtContent>
  </w:sdt>
  <w:p w:rsidR="002657C0" w:rsidRPr="00B51A59" w:rsidRDefault="002657C0">
    <w:pPr>
      <w:pStyle w:val="Pieddepage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C0" w:rsidRDefault="002657C0">
      <w:pPr>
        <w:spacing w:after="0" w:line="240" w:lineRule="auto"/>
      </w:pPr>
      <w:r>
        <w:separator/>
      </w:r>
    </w:p>
  </w:footnote>
  <w:footnote w:type="continuationSeparator" w:id="0">
    <w:p w:rsidR="002657C0" w:rsidRDefault="0026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C0" w:rsidRDefault="002657C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35D09E5" wp14:editId="33517294">
          <wp:simplePos x="0" y="0"/>
          <wp:positionH relativeFrom="margin">
            <wp:posOffset>33655</wp:posOffset>
          </wp:positionH>
          <wp:positionV relativeFrom="margin">
            <wp:posOffset>-518795</wp:posOffset>
          </wp:positionV>
          <wp:extent cx="1133475" cy="40132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56A5702E" wp14:editId="23CD7B71">
          <wp:simplePos x="0" y="0"/>
          <wp:positionH relativeFrom="margin">
            <wp:posOffset>4396105</wp:posOffset>
          </wp:positionH>
          <wp:positionV relativeFrom="margin">
            <wp:posOffset>-538480</wp:posOffset>
          </wp:positionV>
          <wp:extent cx="1343025" cy="502285"/>
          <wp:effectExtent l="0" t="0" r="9525" b="0"/>
          <wp:wrapTight wrapText="bothSides">
            <wp:wrapPolygon edited="0">
              <wp:start x="0" y="0"/>
              <wp:lineTo x="0" y="20480"/>
              <wp:lineTo x="21447" y="20480"/>
              <wp:lineTo x="2144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D4E"/>
    <w:multiLevelType w:val="hybridMultilevel"/>
    <w:tmpl w:val="5F58431A"/>
    <w:lvl w:ilvl="0" w:tplc="892A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A4BB8"/>
    <w:multiLevelType w:val="hybridMultilevel"/>
    <w:tmpl w:val="1CE6EA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A2C44"/>
    <w:multiLevelType w:val="hybridMultilevel"/>
    <w:tmpl w:val="D9181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D0FCF"/>
    <w:multiLevelType w:val="hybridMultilevel"/>
    <w:tmpl w:val="D92CFEC2"/>
    <w:lvl w:ilvl="0" w:tplc="08945E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B0242"/>
    <w:multiLevelType w:val="hybridMultilevel"/>
    <w:tmpl w:val="F60014E8"/>
    <w:lvl w:ilvl="0" w:tplc="65143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14F18"/>
    <w:multiLevelType w:val="hybridMultilevel"/>
    <w:tmpl w:val="15D044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6458F8"/>
    <w:multiLevelType w:val="hybridMultilevel"/>
    <w:tmpl w:val="3CDAF782"/>
    <w:lvl w:ilvl="0" w:tplc="5B8A4902">
      <w:start w:val="7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87858"/>
    <w:multiLevelType w:val="hybridMultilevel"/>
    <w:tmpl w:val="8ED0506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93CF6"/>
    <w:multiLevelType w:val="hybridMultilevel"/>
    <w:tmpl w:val="D7FEE386"/>
    <w:lvl w:ilvl="0" w:tplc="4CF81F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F37C4"/>
    <w:multiLevelType w:val="multilevel"/>
    <w:tmpl w:val="3F924C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3653579"/>
    <w:multiLevelType w:val="hybridMultilevel"/>
    <w:tmpl w:val="1FC40570"/>
    <w:lvl w:ilvl="0" w:tplc="A00EA33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C4EB6"/>
    <w:multiLevelType w:val="hybridMultilevel"/>
    <w:tmpl w:val="5968443A"/>
    <w:lvl w:ilvl="0" w:tplc="358EDBE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82CFC"/>
    <w:multiLevelType w:val="hybridMultilevel"/>
    <w:tmpl w:val="9B101CC6"/>
    <w:lvl w:ilvl="0" w:tplc="1BA4C8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F1A4B"/>
    <w:multiLevelType w:val="hybridMultilevel"/>
    <w:tmpl w:val="DBA6EFB2"/>
    <w:lvl w:ilvl="0" w:tplc="358EDBE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70B52"/>
    <w:multiLevelType w:val="hybridMultilevel"/>
    <w:tmpl w:val="FEC20A00"/>
    <w:lvl w:ilvl="0" w:tplc="16F64E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822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E46B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6C4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84D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3815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CF0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76FC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495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476A9D"/>
    <w:multiLevelType w:val="hybridMultilevel"/>
    <w:tmpl w:val="369C66B6"/>
    <w:lvl w:ilvl="0" w:tplc="FD6A77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D4DF0"/>
    <w:multiLevelType w:val="hybridMultilevel"/>
    <w:tmpl w:val="F83817C2"/>
    <w:lvl w:ilvl="0" w:tplc="562890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724FA"/>
    <w:multiLevelType w:val="hybridMultilevel"/>
    <w:tmpl w:val="54ACBEB6"/>
    <w:lvl w:ilvl="0" w:tplc="4CF81F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E5F48"/>
    <w:multiLevelType w:val="hybridMultilevel"/>
    <w:tmpl w:val="3F5035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E0692"/>
    <w:multiLevelType w:val="hybridMultilevel"/>
    <w:tmpl w:val="F60014E8"/>
    <w:lvl w:ilvl="0" w:tplc="65143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B26D6"/>
    <w:multiLevelType w:val="hybridMultilevel"/>
    <w:tmpl w:val="232CD884"/>
    <w:lvl w:ilvl="0" w:tplc="56289014"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20"/>
  </w:num>
  <w:num w:numId="5">
    <w:abstractNumId w:val="11"/>
  </w:num>
  <w:num w:numId="6">
    <w:abstractNumId w:val="0"/>
  </w:num>
  <w:num w:numId="7">
    <w:abstractNumId w:val="19"/>
  </w:num>
  <w:num w:numId="8">
    <w:abstractNumId w:val="7"/>
  </w:num>
  <w:num w:numId="9">
    <w:abstractNumId w:val="5"/>
  </w:num>
  <w:num w:numId="10">
    <w:abstractNumId w:val="2"/>
  </w:num>
  <w:num w:numId="11">
    <w:abstractNumId w:val="13"/>
  </w:num>
  <w:num w:numId="12">
    <w:abstractNumId w:val="8"/>
  </w:num>
  <w:num w:numId="13">
    <w:abstractNumId w:val="14"/>
  </w:num>
  <w:num w:numId="14">
    <w:abstractNumId w:val="1"/>
  </w:num>
  <w:num w:numId="15">
    <w:abstractNumId w:val="17"/>
  </w:num>
  <w:num w:numId="16">
    <w:abstractNumId w:val="18"/>
  </w:num>
  <w:num w:numId="17">
    <w:abstractNumId w:val="9"/>
  </w:num>
  <w:num w:numId="18">
    <w:abstractNumId w:val="6"/>
  </w:num>
  <w:num w:numId="19">
    <w:abstractNumId w:val="10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FD"/>
    <w:rsid w:val="0001497C"/>
    <w:rsid w:val="0005156C"/>
    <w:rsid w:val="000524D8"/>
    <w:rsid w:val="00055559"/>
    <w:rsid w:val="00057E75"/>
    <w:rsid w:val="00060AAA"/>
    <w:rsid w:val="000949BF"/>
    <w:rsid w:val="000A01F2"/>
    <w:rsid w:val="000C266A"/>
    <w:rsid w:val="000F0496"/>
    <w:rsid w:val="00101B75"/>
    <w:rsid w:val="00102225"/>
    <w:rsid w:val="00104956"/>
    <w:rsid w:val="001317B8"/>
    <w:rsid w:val="0019326B"/>
    <w:rsid w:val="001B3B98"/>
    <w:rsid w:val="001B5D5F"/>
    <w:rsid w:val="001C4278"/>
    <w:rsid w:val="001E1A03"/>
    <w:rsid w:val="002017F0"/>
    <w:rsid w:val="0020780D"/>
    <w:rsid w:val="00214313"/>
    <w:rsid w:val="002251ED"/>
    <w:rsid w:val="00237997"/>
    <w:rsid w:val="00245D09"/>
    <w:rsid w:val="002657C0"/>
    <w:rsid w:val="0027633D"/>
    <w:rsid w:val="00287109"/>
    <w:rsid w:val="002C73D0"/>
    <w:rsid w:val="0031300B"/>
    <w:rsid w:val="00316FBE"/>
    <w:rsid w:val="003355B1"/>
    <w:rsid w:val="00352FE9"/>
    <w:rsid w:val="003617EF"/>
    <w:rsid w:val="003B2506"/>
    <w:rsid w:val="003D07BB"/>
    <w:rsid w:val="003E1579"/>
    <w:rsid w:val="003F2D91"/>
    <w:rsid w:val="00431086"/>
    <w:rsid w:val="00434EC3"/>
    <w:rsid w:val="00440F68"/>
    <w:rsid w:val="00471FEA"/>
    <w:rsid w:val="004C3D84"/>
    <w:rsid w:val="004C79E5"/>
    <w:rsid w:val="004E5405"/>
    <w:rsid w:val="004F1251"/>
    <w:rsid w:val="005074B0"/>
    <w:rsid w:val="00572CEF"/>
    <w:rsid w:val="0059098E"/>
    <w:rsid w:val="005C2735"/>
    <w:rsid w:val="00622550"/>
    <w:rsid w:val="00624CFC"/>
    <w:rsid w:val="00643577"/>
    <w:rsid w:val="00651D3D"/>
    <w:rsid w:val="00656A4B"/>
    <w:rsid w:val="006656F3"/>
    <w:rsid w:val="00673EC2"/>
    <w:rsid w:val="0067513C"/>
    <w:rsid w:val="00682816"/>
    <w:rsid w:val="00684520"/>
    <w:rsid w:val="00695F18"/>
    <w:rsid w:val="006B34F1"/>
    <w:rsid w:val="006D3AF6"/>
    <w:rsid w:val="006F0AE6"/>
    <w:rsid w:val="00727833"/>
    <w:rsid w:val="0075050E"/>
    <w:rsid w:val="00752D40"/>
    <w:rsid w:val="00774D18"/>
    <w:rsid w:val="00796BAE"/>
    <w:rsid w:val="007A1364"/>
    <w:rsid w:val="007A690E"/>
    <w:rsid w:val="007D1256"/>
    <w:rsid w:val="008028F8"/>
    <w:rsid w:val="00823F79"/>
    <w:rsid w:val="00826A6E"/>
    <w:rsid w:val="00874397"/>
    <w:rsid w:val="008970F4"/>
    <w:rsid w:val="008B122B"/>
    <w:rsid w:val="008C3CDE"/>
    <w:rsid w:val="008E07F8"/>
    <w:rsid w:val="00996C16"/>
    <w:rsid w:val="009979FD"/>
    <w:rsid w:val="009A1143"/>
    <w:rsid w:val="009A26E4"/>
    <w:rsid w:val="009B68C8"/>
    <w:rsid w:val="009C250F"/>
    <w:rsid w:val="009D7E6B"/>
    <w:rsid w:val="00A30C47"/>
    <w:rsid w:val="00A31301"/>
    <w:rsid w:val="00A345F5"/>
    <w:rsid w:val="00A409CD"/>
    <w:rsid w:val="00A7209F"/>
    <w:rsid w:val="00AB78C2"/>
    <w:rsid w:val="00AE08B4"/>
    <w:rsid w:val="00B33505"/>
    <w:rsid w:val="00B414DD"/>
    <w:rsid w:val="00B576AE"/>
    <w:rsid w:val="00B62EEA"/>
    <w:rsid w:val="00B864D5"/>
    <w:rsid w:val="00BB70C5"/>
    <w:rsid w:val="00BD4974"/>
    <w:rsid w:val="00BE6D5B"/>
    <w:rsid w:val="00BF08FC"/>
    <w:rsid w:val="00BF6DB9"/>
    <w:rsid w:val="00C215A4"/>
    <w:rsid w:val="00C21F4A"/>
    <w:rsid w:val="00C40E6C"/>
    <w:rsid w:val="00C75DD7"/>
    <w:rsid w:val="00C955F3"/>
    <w:rsid w:val="00C958F1"/>
    <w:rsid w:val="00CA30F5"/>
    <w:rsid w:val="00CF2A65"/>
    <w:rsid w:val="00CF334F"/>
    <w:rsid w:val="00D370F0"/>
    <w:rsid w:val="00D51263"/>
    <w:rsid w:val="00D54DE7"/>
    <w:rsid w:val="00D57237"/>
    <w:rsid w:val="00D75898"/>
    <w:rsid w:val="00DB780A"/>
    <w:rsid w:val="00DC7393"/>
    <w:rsid w:val="00DE142A"/>
    <w:rsid w:val="00DF6A23"/>
    <w:rsid w:val="00E00858"/>
    <w:rsid w:val="00E35333"/>
    <w:rsid w:val="00E431DB"/>
    <w:rsid w:val="00E56709"/>
    <w:rsid w:val="00E91965"/>
    <w:rsid w:val="00E93589"/>
    <w:rsid w:val="00EA5451"/>
    <w:rsid w:val="00EA6CC8"/>
    <w:rsid w:val="00EC4619"/>
    <w:rsid w:val="00EF3C04"/>
    <w:rsid w:val="00F04943"/>
    <w:rsid w:val="00F12A50"/>
    <w:rsid w:val="00F23BBF"/>
    <w:rsid w:val="00F244E1"/>
    <w:rsid w:val="00F55F27"/>
    <w:rsid w:val="00F83BE7"/>
    <w:rsid w:val="00FB22CD"/>
    <w:rsid w:val="00FC5538"/>
    <w:rsid w:val="00FC7BAC"/>
    <w:rsid w:val="00FD0508"/>
    <w:rsid w:val="00FE7B37"/>
    <w:rsid w:val="00FF34DE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40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34DE"/>
    <w:pPr>
      <w:keepNext/>
      <w:keepLines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979F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979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979FD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215A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215A4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23F79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1022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74D18"/>
    <w:rPr>
      <w:color w:val="808080"/>
    </w:rPr>
  </w:style>
  <w:style w:type="table" w:styleId="Grilledutableau">
    <w:name w:val="Table Grid"/>
    <w:basedOn w:val="TableauNormal"/>
    <w:uiPriority w:val="59"/>
    <w:rsid w:val="004E5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FF3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A40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F049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49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494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49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4943"/>
    <w:rPr>
      <w:b/>
      <w:bCs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060A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40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34DE"/>
    <w:pPr>
      <w:keepNext/>
      <w:keepLines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979F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979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979FD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215A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215A4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23F79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1022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74D18"/>
    <w:rPr>
      <w:color w:val="808080"/>
    </w:rPr>
  </w:style>
  <w:style w:type="table" w:styleId="Grilledutableau">
    <w:name w:val="Table Grid"/>
    <w:basedOn w:val="TableauNormal"/>
    <w:uiPriority w:val="59"/>
    <w:rsid w:val="004E5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FF3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A40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F049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49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494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49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4943"/>
    <w:rPr>
      <w:b/>
      <w:bCs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060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2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75">
                  <w:marLeft w:val="-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8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2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4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35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7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7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87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4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30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479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72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889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14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0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6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51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07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90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32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62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63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07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613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04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3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800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09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01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44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31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210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4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73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2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0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47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58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18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81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88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71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02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36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73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54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91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63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64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82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5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1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61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21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27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1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06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08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979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04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25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62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4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92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82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975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2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7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46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272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92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86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682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891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21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48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91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66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303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41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62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1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69120">
                  <w:marLeft w:val="-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6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4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0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5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1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1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46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97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92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24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18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2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6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74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00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36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40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85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48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35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722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53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02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44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44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72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979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79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2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38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65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31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43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79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12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75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49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52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91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83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61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71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23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72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18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0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16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19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64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00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08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78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75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7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000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98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1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62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48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818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91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28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03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412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9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02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69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55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75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27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79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23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62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874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268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89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00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96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32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12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2467">
                  <w:marLeft w:val="-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2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90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8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0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54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8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50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28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62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92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44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50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00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92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89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814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3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75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75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24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256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49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41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635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39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341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9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82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599A2-9E23-4F76-B338-750ECCCB9F2C}"/>
      </w:docPartPr>
      <w:docPartBody>
        <w:p w:rsidR="00B21280" w:rsidRDefault="00CF36BB">
          <w:r w:rsidRPr="00332B9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02BF16233734C578FB1174A7362CA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107DA-1833-4CC8-8538-9EBE3D40AEFB}"/>
      </w:docPartPr>
      <w:docPartBody>
        <w:p w:rsidR="000B6D7B" w:rsidRDefault="00F15E21" w:rsidP="00F15E21">
          <w:pPr>
            <w:pStyle w:val="C02BF16233734C578FB1174A7362CAC6"/>
          </w:pPr>
          <w:r w:rsidRPr="00332B9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BB"/>
    <w:rsid w:val="000B6D7B"/>
    <w:rsid w:val="00B21280"/>
    <w:rsid w:val="00CF36BB"/>
    <w:rsid w:val="00E502FE"/>
    <w:rsid w:val="00F1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02FE"/>
    <w:rPr>
      <w:color w:val="808080"/>
    </w:rPr>
  </w:style>
  <w:style w:type="paragraph" w:customStyle="1" w:styleId="C58717EE1CE74E79BB1F9D9A8AE776E5">
    <w:name w:val="C58717EE1CE74E79BB1F9D9A8AE776E5"/>
    <w:rsid w:val="00F15E21"/>
  </w:style>
  <w:style w:type="paragraph" w:customStyle="1" w:styleId="C02BF16233734C578FB1174A7362CAC6">
    <w:name w:val="C02BF16233734C578FB1174A7362CAC6"/>
    <w:rsid w:val="00F15E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02FE"/>
    <w:rPr>
      <w:color w:val="808080"/>
    </w:rPr>
  </w:style>
  <w:style w:type="paragraph" w:customStyle="1" w:styleId="C58717EE1CE74E79BB1F9D9A8AE776E5">
    <w:name w:val="C58717EE1CE74E79BB1F9D9A8AE776E5"/>
    <w:rsid w:val="00F15E21"/>
  </w:style>
  <w:style w:type="paragraph" w:customStyle="1" w:styleId="C02BF16233734C578FB1174A7362CAC6">
    <w:name w:val="C02BF16233734C578FB1174A7362CAC6"/>
    <w:rsid w:val="00F15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9418-C920-4700-ADE2-4BBC0D0C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1354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ACREMONT Fanny</dc:creator>
  <cp:lastModifiedBy>MADE Pierre</cp:lastModifiedBy>
  <cp:revision>2</cp:revision>
  <cp:lastPrinted>2019-07-10T08:33:00Z</cp:lastPrinted>
  <dcterms:created xsi:type="dcterms:W3CDTF">2019-11-26T13:21:00Z</dcterms:created>
  <dcterms:modified xsi:type="dcterms:W3CDTF">2019-11-26T13:21:00Z</dcterms:modified>
</cp:coreProperties>
</file>